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54" w:rsidRDefault="00905154">
      <w:pPr>
        <w:pStyle w:val="Tekstpodstawowy"/>
        <w:spacing w:before="135"/>
        <w:ind w:left="0"/>
      </w:pPr>
      <w:bookmarkStart w:id="0" w:name="_GoBack"/>
      <w:bookmarkEnd w:id="0"/>
    </w:p>
    <w:p w:rsidR="00905154" w:rsidRDefault="007602A8">
      <w:pPr>
        <w:pStyle w:val="Tytu"/>
        <w:spacing w:line="256" w:lineRule="auto"/>
        <w:rPr>
          <w:u w:val="none"/>
        </w:rPr>
      </w:pPr>
      <w:r>
        <w:t>Metodologia</w:t>
      </w:r>
      <w:r>
        <w:rPr>
          <w:spacing w:val="-5"/>
        </w:rPr>
        <w:t xml:space="preserve"> </w:t>
      </w:r>
      <w:r>
        <w:t>obliczania</w:t>
      </w:r>
      <w:r>
        <w:rPr>
          <w:spacing w:val="-5"/>
        </w:rPr>
        <w:t xml:space="preserve"> </w:t>
      </w:r>
      <w:r>
        <w:t>korekty</w:t>
      </w:r>
      <w:r>
        <w:rPr>
          <w:spacing w:val="-6"/>
        </w:rPr>
        <w:t xml:space="preserve"> </w:t>
      </w:r>
      <w:r>
        <w:t>finansowej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>10.01</w:t>
      </w:r>
      <w:r>
        <w:rPr>
          <w:spacing w:val="-5"/>
        </w:rPr>
        <w:t xml:space="preserve"> </w:t>
      </w:r>
      <w:r>
        <w:t>Lokalna</w:t>
      </w:r>
      <w:r>
        <w:rPr>
          <w:spacing w:val="-3"/>
        </w:rPr>
        <w:t xml:space="preserve"> </w:t>
      </w:r>
      <w:r>
        <w:t>energia</w:t>
      </w:r>
      <w:r>
        <w:rPr>
          <w:u w:val="none"/>
        </w:rPr>
        <w:t xml:space="preserve"> </w:t>
      </w:r>
      <w:r>
        <w:rPr>
          <w:spacing w:val="-2"/>
        </w:rPr>
        <w:t>odnawialna</w:t>
      </w:r>
    </w:p>
    <w:p w:rsidR="00905154" w:rsidRDefault="007602A8">
      <w:pPr>
        <w:pStyle w:val="Tekstpodstawowy"/>
        <w:spacing w:before="167" w:line="259" w:lineRule="auto"/>
      </w:pPr>
      <w:r>
        <w:t>Metodologia</w:t>
      </w:r>
      <w:r>
        <w:rPr>
          <w:spacing w:val="-3"/>
        </w:rPr>
        <w:t xml:space="preserve"> </w:t>
      </w:r>
      <w:r>
        <w:t>obliczania</w:t>
      </w:r>
      <w:r>
        <w:rPr>
          <w:spacing w:val="-4"/>
        </w:rPr>
        <w:t xml:space="preserve"> </w:t>
      </w:r>
      <w:r>
        <w:t>korekty</w:t>
      </w:r>
      <w:r>
        <w:rPr>
          <w:spacing w:val="-8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t>dofinansowania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zastosowanie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 niezrealizowania zakładanych wskaźników</w:t>
      </w:r>
      <w:r>
        <w:rPr>
          <w:vertAlign w:val="superscript"/>
        </w:rPr>
        <w:t>1</w:t>
      </w:r>
      <w:r>
        <w:t xml:space="preserve"> w:</w:t>
      </w:r>
    </w:p>
    <w:p w:rsidR="00905154" w:rsidRDefault="007602A8">
      <w:pPr>
        <w:pStyle w:val="Tekstpodstawowy"/>
        <w:spacing w:before="159" w:line="410" w:lineRule="auto"/>
      </w:pPr>
      <w:r>
        <w:t>Priorytet</w:t>
      </w:r>
      <w:r>
        <w:rPr>
          <w:spacing w:val="-3"/>
        </w:rPr>
        <w:t xml:space="preserve"> </w:t>
      </w:r>
      <w:r>
        <w:t>FEPD.10</w:t>
      </w:r>
      <w:r>
        <w:rPr>
          <w:spacing w:val="-11"/>
        </w:rPr>
        <w:t xml:space="preserve"> </w:t>
      </w:r>
      <w:r>
        <w:t>Wspieranie</w:t>
      </w:r>
      <w:r>
        <w:rPr>
          <w:spacing w:val="-5"/>
        </w:rPr>
        <w:t xml:space="preserve"> </w:t>
      </w:r>
      <w:r>
        <w:t>energii</w:t>
      </w:r>
      <w:r>
        <w:rPr>
          <w:spacing w:val="-5"/>
        </w:rPr>
        <w:t xml:space="preserve"> </w:t>
      </w:r>
      <w:r>
        <w:t>odnawialnej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potrzeby</w:t>
      </w:r>
      <w:r>
        <w:rPr>
          <w:spacing w:val="-7"/>
        </w:rPr>
        <w:t xml:space="preserve"> </w:t>
      </w:r>
      <w:r>
        <w:t>lokalnych</w:t>
      </w:r>
      <w:r>
        <w:rPr>
          <w:spacing w:val="-5"/>
        </w:rPr>
        <w:t xml:space="preserve"> </w:t>
      </w:r>
      <w:r>
        <w:t>społeczności Działanie FEPD.10.01 Lokalna energia odnawialna</w:t>
      </w:r>
    </w:p>
    <w:p w:rsidR="00905154" w:rsidRDefault="007602A8">
      <w:pPr>
        <w:pStyle w:val="Tekstpodstawowy"/>
        <w:spacing w:before="1"/>
      </w:pPr>
      <w:r>
        <w:t>Typ</w:t>
      </w:r>
      <w:r>
        <w:rPr>
          <w:spacing w:val="-14"/>
        </w:rPr>
        <w:t xml:space="preserve"> </w:t>
      </w:r>
      <w:r>
        <w:rPr>
          <w:spacing w:val="-2"/>
        </w:rPr>
        <w:t>projektu:</w:t>
      </w:r>
    </w:p>
    <w:p w:rsidR="00905154" w:rsidRDefault="007602A8">
      <w:pPr>
        <w:pStyle w:val="Akapitzlist"/>
        <w:numPr>
          <w:ilvl w:val="0"/>
          <w:numId w:val="2"/>
        </w:numPr>
        <w:tabs>
          <w:tab w:val="left" w:pos="385"/>
        </w:tabs>
        <w:spacing w:before="179" w:line="259" w:lineRule="auto"/>
        <w:ind w:right="571" w:firstLine="0"/>
      </w:pPr>
      <w:r>
        <w:t>Inwestycje z zakresu</w:t>
      </w:r>
      <w:r>
        <w:rPr>
          <w:spacing w:val="-2"/>
        </w:rPr>
        <w:t xml:space="preserve"> </w:t>
      </w:r>
      <w:r>
        <w:t>budowy nowych lub zwiększenia mocy innowacyjnych jednostek wytwarzania</w:t>
      </w:r>
      <w:r>
        <w:rPr>
          <w:spacing w:val="-3"/>
        </w:rPr>
        <w:t xml:space="preserve"> </w:t>
      </w:r>
      <w:r>
        <w:t>energii</w:t>
      </w:r>
      <w:r>
        <w:rPr>
          <w:spacing w:val="-3"/>
        </w:rPr>
        <w:t xml:space="preserve"> </w:t>
      </w:r>
      <w:r>
        <w:t>elektrycznej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ciepła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rodzajów</w:t>
      </w:r>
      <w:r>
        <w:rPr>
          <w:spacing w:val="-6"/>
        </w:rPr>
        <w:t xml:space="preserve"> </w:t>
      </w:r>
      <w:r>
        <w:t>OZE,</w:t>
      </w:r>
      <w:r>
        <w:rPr>
          <w:spacing w:val="-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 xml:space="preserve">z biomasy, biogazu, </w:t>
      </w:r>
      <w:proofErr w:type="spellStart"/>
      <w:r>
        <w:t>biometanu</w:t>
      </w:r>
      <w:proofErr w:type="spellEnd"/>
      <w:r>
        <w:t>, energii wiatru, słońca oraz Ziemi (geotermia), wraz z magazynami energii lub ciepła działającymi na potrzeby danego źródła OZE oraz przyłączeniem do sieci, z p</w:t>
      </w:r>
      <w:r>
        <w:t>rzeznaczeniem na potrzeby własne lokalnych społeczności.</w:t>
      </w:r>
    </w:p>
    <w:p w:rsidR="00905154" w:rsidRDefault="007602A8">
      <w:pPr>
        <w:pStyle w:val="Akapitzlist"/>
        <w:numPr>
          <w:ilvl w:val="0"/>
          <w:numId w:val="2"/>
        </w:numPr>
        <w:tabs>
          <w:tab w:val="left" w:pos="387"/>
        </w:tabs>
        <w:spacing w:before="161" w:line="259" w:lineRule="auto"/>
        <w:ind w:right="630" w:firstLine="0"/>
      </w:pPr>
      <w:r>
        <w:t>Budowa lub rozbudowa magazynów energii elektrycznej oraz magazynów ciepła poprawiających</w:t>
      </w:r>
      <w:r>
        <w:rPr>
          <w:spacing w:val="-4"/>
        </w:rPr>
        <w:t xml:space="preserve"> </w:t>
      </w:r>
      <w:r>
        <w:t>sprawność</w:t>
      </w:r>
      <w:r>
        <w:rPr>
          <w:spacing w:val="-3"/>
        </w:rPr>
        <w:t xml:space="preserve"> </w:t>
      </w:r>
      <w:r>
        <w:t>wykorzystania</w:t>
      </w:r>
      <w:r>
        <w:rPr>
          <w:spacing w:val="-4"/>
        </w:rPr>
        <w:t xml:space="preserve"> </w:t>
      </w:r>
      <w:r>
        <w:t>energii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OZE,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przeznaczeniem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potrzeby własne lokalnych społeczności.</w:t>
      </w:r>
    </w:p>
    <w:p w:rsidR="00905154" w:rsidRDefault="007602A8">
      <w:pPr>
        <w:pStyle w:val="Tekstpodstawowy"/>
        <w:spacing w:before="160" w:line="259" w:lineRule="auto"/>
        <w:ind w:right="226"/>
      </w:pPr>
      <w:r>
        <w:t>Beneficjent</w:t>
      </w:r>
      <w:r>
        <w:t xml:space="preserve"> deklarujący w realizowanym projekcie osiągnięcie założonych wskaźników rezultatu, powinien dołożyć należytej staranności,</w:t>
      </w:r>
      <w:r>
        <w:rPr>
          <w:spacing w:val="-1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wywiązać się z</w:t>
      </w:r>
      <w:r>
        <w:rPr>
          <w:spacing w:val="-2"/>
        </w:rPr>
        <w:t xml:space="preserve"> </w:t>
      </w:r>
      <w:r>
        <w:t>złożonych deklaracji. W związku z tym, że przyczyny braku osiągnięcia wskaźników nie zawsze leżą po stronie benefi</w:t>
      </w:r>
      <w:r>
        <w:t xml:space="preserve">cjentów, kwestie korekt finansowych powinny być rozpatrywane indywidualnie uwzględniając okoliczności, na które Beneficjenci nie mają wpływu. Ostateczne decyzje w przedmiotowej sprawie wydaje Instytucja Zarządzająca </w:t>
      </w:r>
      <w:proofErr w:type="spellStart"/>
      <w:r>
        <w:t>FEdP</w:t>
      </w:r>
      <w:proofErr w:type="spellEnd"/>
      <w:r>
        <w:t>, która może odstąpić od naliczenia</w:t>
      </w:r>
      <w:r>
        <w:rPr>
          <w:spacing w:val="-4"/>
        </w:rPr>
        <w:t xml:space="preserve"> </w:t>
      </w:r>
      <w:r>
        <w:t>korekt</w:t>
      </w:r>
      <w:r>
        <w:rPr>
          <w:spacing w:val="-7"/>
        </w:rPr>
        <w:t xml:space="preserve"> </w:t>
      </w:r>
      <w:r>
        <w:t>finansowych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sytuacji,</w:t>
      </w:r>
      <w:r>
        <w:rPr>
          <w:spacing w:val="-4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osiągnięcie</w:t>
      </w:r>
      <w:r>
        <w:rPr>
          <w:spacing w:val="-4"/>
        </w:rPr>
        <w:t xml:space="preserve"> </w:t>
      </w:r>
      <w:r>
        <w:t>wartości</w:t>
      </w:r>
      <w:r>
        <w:rPr>
          <w:spacing w:val="-5"/>
        </w:rPr>
        <w:t xml:space="preserve"> </w:t>
      </w:r>
      <w:r>
        <w:t>docelowych</w:t>
      </w:r>
      <w:r>
        <w:rPr>
          <w:spacing w:val="-1"/>
        </w:rPr>
        <w:t xml:space="preserve"> </w:t>
      </w:r>
      <w:r>
        <w:t>wskaźników uniemożliwiły czynniki zewnętrzne, nadzwyczajne, niezależne od beneficjenta, niemożliwe do przewidzenia na etapie aplikowania.</w:t>
      </w:r>
    </w:p>
    <w:p w:rsidR="00905154" w:rsidRDefault="007602A8">
      <w:pPr>
        <w:pStyle w:val="Akapitzlist"/>
        <w:numPr>
          <w:ilvl w:val="0"/>
          <w:numId w:val="1"/>
        </w:numPr>
        <w:tabs>
          <w:tab w:val="left" w:pos="568"/>
        </w:tabs>
        <w:spacing w:line="259" w:lineRule="auto"/>
      </w:pPr>
      <w:r>
        <w:t>W przypadku niezrealizowania wskaźnika rezultatu, w</w:t>
      </w:r>
      <w:r>
        <w:t>ybranego przez Beneficjenta do monitorowania,</w:t>
      </w:r>
      <w:r>
        <w:rPr>
          <w:spacing w:val="-4"/>
        </w:rPr>
        <w:t xml:space="preserve"> </w:t>
      </w:r>
      <w:r>
        <w:t>niemającego</w:t>
      </w:r>
      <w:r>
        <w:rPr>
          <w:spacing w:val="-7"/>
        </w:rPr>
        <w:t xml:space="preserve"> </w:t>
      </w:r>
      <w:r>
        <w:t>bezpośredniego</w:t>
      </w:r>
      <w:r>
        <w:rPr>
          <w:spacing w:val="-7"/>
        </w:rPr>
        <w:t xml:space="preserve"> </w:t>
      </w:r>
      <w:r>
        <w:t>odzwierciedlenia</w:t>
      </w:r>
      <w:r>
        <w:rPr>
          <w:spacing w:val="-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przyjętych</w:t>
      </w:r>
      <w:r>
        <w:rPr>
          <w:spacing w:val="-7"/>
        </w:rPr>
        <w:t xml:space="preserve"> </w:t>
      </w:r>
      <w:r>
        <w:t>kryteriach oceny</w:t>
      </w:r>
      <w:r>
        <w:rPr>
          <w:spacing w:val="-6"/>
        </w:rPr>
        <w:t xml:space="preserve"> </w:t>
      </w:r>
      <w:r>
        <w:t>merytorycznej</w:t>
      </w:r>
      <w:r>
        <w:rPr>
          <w:spacing w:val="-2"/>
        </w:rPr>
        <w:t xml:space="preserve"> </w:t>
      </w:r>
      <w:r>
        <w:t>projektu,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zastosować</w:t>
      </w:r>
      <w:r>
        <w:rPr>
          <w:spacing w:val="-4"/>
        </w:rPr>
        <w:t xml:space="preserve"> </w:t>
      </w:r>
      <w:r>
        <w:t>korektę</w:t>
      </w:r>
      <w:r>
        <w:rPr>
          <w:spacing w:val="-8"/>
        </w:rPr>
        <w:t xml:space="preserve"> </w:t>
      </w:r>
      <w:r>
        <w:t>finansową</w:t>
      </w:r>
      <w:r>
        <w:rPr>
          <w:spacing w:val="-4"/>
        </w:rPr>
        <w:t xml:space="preserve"> </w:t>
      </w:r>
      <w:r>
        <w:t>według</w:t>
      </w:r>
      <w:r>
        <w:rPr>
          <w:spacing w:val="-4"/>
        </w:rPr>
        <w:t xml:space="preserve"> </w:t>
      </w:r>
      <w:r>
        <w:t xml:space="preserve">poniższej </w:t>
      </w:r>
      <w:r>
        <w:rPr>
          <w:spacing w:val="-2"/>
        </w:rPr>
        <w:t>tabeli.</w:t>
      </w:r>
    </w:p>
    <w:p w:rsidR="00905154" w:rsidRDefault="007602A8">
      <w:pPr>
        <w:pStyle w:val="Tekstpodstawowy"/>
        <w:spacing w:before="160"/>
      </w:pPr>
      <w:r>
        <w:t>Tabela</w:t>
      </w:r>
      <w:r>
        <w:rPr>
          <w:spacing w:val="-11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Matryca</w:t>
      </w:r>
      <w:r>
        <w:rPr>
          <w:spacing w:val="-11"/>
        </w:rPr>
        <w:t xml:space="preserve"> </w:t>
      </w:r>
      <w:r>
        <w:t>poziomu</w:t>
      </w:r>
      <w:r>
        <w:rPr>
          <w:spacing w:val="-10"/>
        </w:rPr>
        <w:t xml:space="preserve"> </w:t>
      </w:r>
      <w:r>
        <w:t>obniżenia</w:t>
      </w:r>
      <w:r>
        <w:rPr>
          <w:spacing w:val="-10"/>
        </w:rPr>
        <w:t xml:space="preserve"> </w:t>
      </w:r>
      <w:r>
        <w:rPr>
          <w:spacing w:val="-2"/>
        </w:rPr>
        <w:t>dofinansowania</w:t>
      </w:r>
    </w:p>
    <w:p w:rsidR="00905154" w:rsidRDefault="00905154">
      <w:pPr>
        <w:pStyle w:val="Tekstpodstawowy"/>
        <w:spacing w:before="9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905154">
        <w:trPr>
          <w:trHeight w:val="505"/>
        </w:trPr>
        <w:tc>
          <w:tcPr>
            <w:tcW w:w="4532" w:type="dxa"/>
            <w:shd w:val="clear" w:color="auto" w:fill="D9D9D9"/>
          </w:tcPr>
          <w:p w:rsidR="00905154" w:rsidRDefault="007602A8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>Stopień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nieosiągniętych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zakładanych</w:t>
            </w:r>
          </w:p>
          <w:p w:rsidR="00905154" w:rsidRDefault="007602A8">
            <w:pPr>
              <w:pStyle w:val="TableParagraph"/>
              <w:spacing w:before="1" w:line="237" w:lineRule="exact"/>
              <w:ind w:right="2"/>
              <w:rPr>
                <w:b/>
              </w:rPr>
            </w:pPr>
            <w:r>
              <w:rPr>
                <w:b/>
              </w:rPr>
              <w:t>wskaźników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4532" w:type="dxa"/>
            <w:shd w:val="clear" w:color="auto" w:fill="D9D9D9"/>
          </w:tcPr>
          <w:p w:rsidR="00905154" w:rsidRDefault="007602A8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</w:rPr>
              <w:t>Poziom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obniżenia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kwoty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</w:tr>
      <w:tr w:rsidR="00905154">
        <w:trPr>
          <w:trHeight w:val="253"/>
        </w:trPr>
        <w:tc>
          <w:tcPr>
            <w:tcW w:w="4532" w:type="dxa"/>
            <w:shd w:val="clear" w:color="auto" w:fill="D9D9D9"/>
          </w:tcPr>
          <w:p w:rsidR="00905154" w:rsidRDefault="007602A8">
            <w:pPr>
              <w:pStyle w:val="TableParagraph"/>
              <w:ind w:right="3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532" w:type="dxa"/>
            <w:shd w:val="clear" w:color="auto" w:fill="D9D9D9"/>
          </w:tcPr>
          <w:p w:rsidR="00905154" w:rsidRDefault="007602A8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905154">
        <w:trPr>
          <w:trHeight w:val="251"/>
        </w:trPr>
        <w:tc>
          <w:tcPr>
            <w:tcW w:w="4532" w:type="dxa"/>
          </w:tcPr>
          <w:p w:rsidR="00905154" w:rsidRDefault="007602A8">
            <w:pPr>
              <w:pStyle w:val="TableParagraph"/>
              <w:spacing w:line="232" w:lineRule="exact"/>
            </w:pPr>
            <w:r>
              <w:rPr>
                <w:spacing w:val="-2"/>
              </w:rPr>
              <w:t>10,01%-25,00%</w:t>
            </w:r>
          </w:p>
        </w:tc>
        <w:tc>
          <w:tcPr>
            <w:tcW w:w="4532" w:type="dxa"/>
          </w:tcPr>
          <w:p w:rsidR="00905154" w:rsidRDefault="007602A8">
            <w:pPr>
              <w:pStyle w:val="TableParagraph"/>
              <w:spacing w:line="232" w:lineRule="exact"/>
              <w:ind w:right="8"/>
            </w:pPr>
            <w:r>
              <w:rPr>
                <w:spacing w:val="-10"/>
              </w:rPr>
              <w:t>2</w:t>
            </w:r>
          </w:p>
        </w:tc>
      </w:tr>
      <w:tr w:rsidR="00905154">
        <w:trPr>
          <w:trHeight w:val="253"/>
        </w:trPr>
        <w:tc>
          <w:tcPr>
            <w:tcW w:w="4532" w:type="dxa"/>
          </w:tcPr>
          <w:p w:rsidR="00905154" w:rsidRDefault="007602A8">
            <w:pPr>
              <w:pStyle w:val="TableParagraph"/>
              <w:ind w:right="2"/>
            </w:pPr>
            <w:r>
              <w:t>Od</w:t>
            </w:r>
            <w:r>
              <w:rPr>
                <w:spacing w:val="-3"/>
              </w:rPr>
              <w:t xml:space="preserve"> </w:t>
            </w:r>
            <w:r>
              <w:t>25,01%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50,00%</w:t>
            </w:r>
          </w:p>
        </w:tc>
        <w:tc>
          <w:tcPr>
            <w:tcW w:w="4532" w:type="dxa"/>
          </w:tcPr>
          <w:p w:rsidR="00905154" w:rsidRDefault="007602A8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</w:tr>
      <w:tr w:rsidR="00905154">
        <w:trPr>
          <w:trHeight w:val="252"/>
        </w:trPr>
        <w:tc>
          <w:tcPr>
            <w:tcW w:w="4532" w:type="dxa"/>
          </w:tcPr>
          <w:p w:rsidR="00905154" w:rsidRDefault="007602A8">
            <w:pPr>
              <w:pStyle w:val="TableParagraph"/>
              <w:spacing w:line="232" w:lineRule="exact"/>
            </w:pPr>
            <w:r>
              <w:t>Od</w:t>
            </w:r>
            <w:r>
              <w:rPr>
                <w:spacing w:val="-8"/>
              </w:rPr>
              <w:t xml:space="preserve"> </w:t>
            </w:r>
            <w:r>
              <w:t>50.01%-</w:t>
            </w:r>
            <w:r>
              <w:rPr>
                <w:spacing w:val="-2"/>
              </w:rPr>
              <w:t>70,00%</w:t>
            </w:r>
          </w:p>
        </w:tc>
        <w:tc>
          <w:tcPr>
            <w:tcW w:w="4532" w:type="dxa"/>
          </w:tcPr>
          <w:p w:rsidR="00905154" w:rsidRDefault="007602A8">
            <w:pPr>
              <w:pStyle w:val="TableParagraph"/>
              <w:spacing w:line="232" w:lineRule="exact"/>
              <w:ind w:right="8"/>
            </w:pPr>
            <w:r>
              <w:rPr>
                <w:spacing w:val="-10"/>
              </w:rPr>
              <w:t>6</w:t>
            </w:r>
          </w:p>
        </w:tc>
      </w:tr>
      <w:tr w:rsidR="00905154">
        <w:trPr>
          <w:trHeight w:val="254"/>
        </w:trPr>
        <w:tc>
          <w:tcPr>
            <w:tcW w:w="4532" w:type="dxa"/>
          </w:tcPr>
          <w:p w:rsidR="00905154" w:rsidRDefault="007602A8">
            <w:pPr>
              <w:pStyle w:val="TableParagraph"/>
            </w:pPr>
            <w:r>
              <w:t>powyżej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70,01%</w:t>
            </w:r>
          </w:p>
        </w:tc>
        <w:tc>
          <w:tcPr>
            <w:tcW w:w="4532" w:type="dxa"/>
          </w:tcPr>
          <w:p w:rsidR="00905154" w:rsidRDefault="007602A8">
            <w:pPr>
              <w:pStyle w:val="TableParagraph"/>
              <w:ind w:right="6"/>
            </w:pPr>
            <w:r>
              <w:rPr>
                <w:spacing w:val="-5"/>
              </w:rPr>
              <w:t>10</w:t>
            </w:r>
          </w:p>
        </w:tc>
      </w:tr>
    </w:tbl>
    <w:p w:rsidR="00905154" w:rsidRDefault="00905154">
      <w:pPr>
        <w:pStyle w:val="Tekstpodstawowy"/>
        <w:ind w:left="0"/>
        <w:rPr>
          <w:sz w:val="20"/>
        </w:rPr>
      </w:pPr>
    </w:p>
    <w:p w:rsidR="00905154" w:rsidRDefault="00905154">
      <w:pPr>
        <w:pStyle w:val="Tekstpodstawowy"/>
        <w:ind w:left="0"/>
        <w:rPr>
          <w:sz w:val="20"/>
        </w:rPr>
      </w:pPr>
    </w:p>
    <w:p w:rsidR="00905154" w:rsidRDefault="00905154">
      <w:pPr>
        <w:pStyle w:val="Tekstpodstawowy"/>
        <w:ind w:left="0"/>
        <w:rPr>
          <w:sz w:val="20"/>
        </w:rPr>
      </w:pPr>
    </w:p>
    <w:p w:rsidR="00905154" w:rsidRDefault="007602A8">
      <w:pPr>
        <w:pStyle w:val="Tekstpodstawowy"/>
        <w:spacing w:before="115"/>
        <w:ind w:left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234606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4A5F0" id="Graphic 2" o:spid="_x0000_s1026" style="position:absolute;margin-left:70.8pt;margin-top:18.4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05154" w:rsidRDefault="007602A8">
      <w:pPr>
        <w:spacing w:before="102"/>
        <w:ind w:left="141" w:right="14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Nie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dotyczy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sytuacji,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których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niezrealizowanie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zakładanych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wskaźników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oraz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niewywiązanie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się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beneficjenta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 deklaracji podlegających ocenie w ramach kryteriów wyboru projektu skutkowałoby niespełnieniem kryteriów i/lub negatywną oceną projektu</w:t>
      </w:r>
    </w:p>
    <w:p w:rsidR="00905154" w:rsidRDefault="00905154">
      <w:pPr>
        <w:jc w:val="both"/>
        <w:rPr>
          <w:rFonts w:ascii="Calibri" w:hAnsi="Calibri"/>
          <w:sz w:val="20"/>
        </w:rPr>
        <w:sectPr w:rsidR="00905154">
          <w:headerReference w:type="default" r:id="rId7"/>
          <w:type w:val="continuous"/>
          <w:pgSz w:w="11910" w:h="16840"/>
          <w:pgMar w:top="1420" w:right="1275" w:bottom="280" w:left="1275" w:header="486" w:footer="0" w:gutter="0"/>
          <w:pgNumType w:start="1"/>
          <w:cols w:space="708"/>
        </w:sectPr>
      </w:pPr>
    </w:p>
    <w:p w:rsidR="00905154" w:rsidRDefault="007602A8">
      <w:pPr>
        <w:pStyle w:val="Tekstpodstawowy"/>
        <w:spacing w:before="83" w:line="259" w:lineRule="auto"/>
        <w:ind w:right="712"/>
        <w:jc w:val="both"/>
      </w:pPr>
      <w:r>
        <w:lastRenderedPageBreak/>
        <w:t>W przypadku</w:t>
      </w:r>
      <w:r>
        <w:rPr>
          <w:spacing w:val="-1"/>
        </w:rPr>
        <w:t xml:space="preserve"> </w:t>
      </w:r>
      <w:r>
        <w:t>nieosiągnięcia więcej niż</w:t>
      </w:r>
      <w:r>
        <w:rPr>
          <w:spacing w:val="-1"/>
        </w:rPr>
        <w:t xml:space="preserve"> </w:t>
      </w:r>
      <w:r>
        <w:t>jednego</w:t>
      </w:r>
      <w:r>
        <w:rPr>
          <w:spacing w:val="-3"/>
        </w:rPr>
        <w:t xml:space="preserve"> </w:t>
      </w:r>
      <w:r>
        <w:t>wskaźnika rezultatu</w:t>
      </w:r>
      <w:r>
        <w:rPr>
          <w:spacing w:val="-1"/>
        </w:rPr>
        <w:t xml:space="preserve"> </w:t>
      </w:r>
      <w:r>
        <w:t>poziomy obniżenia kwoty</w:t>
      </w:r>
      <w:r>
        <w:rPr>
          <w:spacing w:val="-4"/>
        </w:rPr>
        <w:t xml:space="preserve"> </w:t>
      </w:r>
      <w:r>
        <w:t>dofinansowania</w:t>
      </w:r>
      <w:r>
        <w:rPr>
          <w:spacing w:val="-3"/>
        </w:rPr>
        <w:t xml:space="preserve"> </w:t>
      </w:r>
      <w:r>
        <w:t>sumują</w:t>
      </w:r>
      <w:r>
        <w:rPr>
          <w:spacing w:val="-5"/>
        </w:rPr>
        <w:t xml:space="preserve"> </w:t>
      </w:r>
      <w:r>
        <w:t>się.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sytuacji,</w:t>
      </w:r>
      <w:r>
        <w:rPr>
          <w:spacing w:val="-4"/>
        </w:rPr>
        <w:t xml:space="preserve"> </w:t>
      </w:r>
      <w:r>
        <w:t>kiedy</w:t>
      </w:r>
      <w:r>
        <w:rPr>
          <w:spacing w:val="-5"/>
        </w:rPr>
        <w:t xml:space="preserve"> </w:t>
      </w:r>
      <w:r>
        <w:t>nieosiągnięcie</w:t>
      </w:r>
      <w:r>
        <w:rPr>
          <w:spacing w:val="-3"/>
        </w:rPr>
        <w:t xml:space="preserve"> </w:t>
      </w:r>
      <w:r>
        <w:t>jednego wskaźnika rezultatu, które wzajemnie się warunkują.</w:t>
      </w:r>
    </w:p>
    <w:p w:rsidR="00905154" w:rsidRDefault="007602A8">
      <w:pPr>
        <w:pStyle w:val="Tekstpodstawowy"/>
        <w:spacing w:before="160" w:line="259" w:lineRule="auto"/>
      </w:pPr>
      <w:r>
        <w:t>W</w:t>
      </w:r>
      <w:r>
        <w:rPr>
          <w:spacing w:val="-3"/>
        </w:rPr>
        <w:t xml:space="preserve"> </w:t>
      </w:r>
      <w:r>
        <w:t>każdym</w:t>
      </w:r>
      <w:r>
        <w:rPr>
          <w:spacing w:val="-3"/>
        </w:rPr>
        <w:t xml:space="preserve"> </w:t>
      </w:r>
      <w:r>
        <w:t>powyższym</w:t>
      </w:r>
      <w:r>
        <w:rPr>
          <w:spacing w:val="-2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poza</w:t>
      </w:r>
      <w:r>
        <w:rPr>
          <w:spacing w:val="-4"/>
        </w:rPr>
        <w:t xml:space="preserve"> </w:t>
      </w:r>
      <w:r>
        <w:t>nałożeniem</w:t>
      </w:r>
      <w:r>
        <w:rPr>
          <w:spacing w:val="-5"/>
        </w:rPr>
        <w:t xml:space="preserve"> </w:t>
      </w:r>
      <w:r>
        <w:t>korekty</w:t>
      </w:r>
      <w:r>
        <w:rPr>
          <w:spacing w:val="-8"/>
        </w:rPr>
        <w:t xml:space="preserve"> </w:t>
      </w:r>
      <w:r>
        <w:t>finansowej,</w:t>
      </w:r>
      <w:r>
        <w:rPr>
          <w:spacing w:val="-2"/>
        </w:rPr>
        <w:t xml:space="preserve"> </w:t>
      </w:r>
      <w:r>
        <w:t>odrębnej</w:t>
      </w:r>
      <w:r>
        <w:rPr>
          <w:spacing w:val="-4"/>
        </w:rPr>
        <w:t xml:space="preserve"> </w:t>
      </w:r>
      <w:r>
        <w:t>weryfikacji podlega projekt pod kątem czynników, które miały wpływ na nieosiągnięcie wskaźników rezultatu i mogą zagrażać utrzymaniu celów projektu oraz jego założeń w okresie trwałoś</w:t>
      </w:r>
      <w:r>
        <w:t>ci projektu. Szczególnie dotyczy to przypadku stopnia nieosiągnięcia wskaźnika powyżej 70%.</w:t>
      </w:r>
    </w:p>
    <w:p w:rsidR="00905154" w:rsidRDefault="007602A8">
      <w:pPr>
        <w:pStyle w:val="Tekstpodstawowy"/>
        <w:spacing w:before="158"/>
      </w:pPr>
      <w:r>
        <w:t>Korekta</w:t>
      </w:r>
      <w:r>
        <w:rPr>
          <w:spacing w:val="-8"/>
        </w:rPr>
        <w:t xml:space="preserve"> </w:t>
      </w:r>
      <w:r>
        <w:t>nakładana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każdy</w:t>
      </w:r>
      <w:r>
        <w:rPr>
          <w:spacing w:val="-5"/>
        </w:rPr>
        <w:t xml:space="preserve"> </w:t>
      </w:r>
      <w:r>
        <w:t>rok,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wskaźnik/i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został/y</w:t>
      </w:r>
      <w:r>
        <w:rPr>
          <w:spacing w:val="-4"/>
        </w:rPr>
        <w:t xml:space="preserve"> </w:t>
      </w:r>
      <w:r>
        <w:rPr>
          <w:spacing w:val="-2"/>
        </w:rPr>
        <w:t>osiągnięty/e.</w:t>
      </w:r>
    </w:p>
    <w:sectPr w:rsidR="00905154">
      <w:pgSz w:w="11910" w:h="16840"/>
      <w:pgMar w:top="1420" w:right="1275" w:bottom="280" w:left="1275" w:header="48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A8" w:rsidRDefault="007602A8">
      <w:r>
        <w:separator/>
      </w:r>
    </w:p>
  </w:endnote>
  <w:endnote w:type="continuationSeparator" w:id="0">
    <w:p w:rsidR="007602A8" w:rsidRDefault="0076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A8" w:rsidRDefault="007602A8">
      <w:r>
        <w:separator/>
      </w:r>
    </w:p>
  </w:footnote>
  <w:footnote w:type="continuationSeparator" w:id="0">
    <w:p w:rsidR="007602A8" w:rsidRDefault="00760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54" w:rsidRDefault="007602A8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39200" behindDoc="1" locked="0" layoutInCell="1" allowOverlap="1">
          <wp:simplePos x="0" y="0"/>
          <wp:positionH relativeFrom="page">
            <wp:posOffset>1095285</wp:posOffset>
          </wp:positionH>
          <wp:positionV relativeFrom="page">
            <wp:posOffset>308920</wp:posOffset>
          </wp:positionV>
          <wp:extent cx="5332305" cy="4728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2305" cy="472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96DA6"/>
    <w:multiLevelType w:val="hybridMultilevel"/>
    <w:tmpl w:val="7A685B46"/>
    <w:lvl w:ilvl="0" w:tplc="DF34581E">
      <w:start w:val="1"/>
      <w:numFmt w:val="decimal"/>
      <w:lvlText w:val="%1."/>
      <w:lvlJc w:val="left"/>
      <w:pPr>
        <w:ind w:left="14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4E44F4">
      <w:numFmt w:val="bullet"/>
      <w:lvlText w:val="•"/>
      <w:lvlJc w:val="left"/>
      <w:pPr>
        <w:ind w:left="1061" w:hanging="245"/>
      </w:pPr>
      <w:rPr>
        <w:rFonts w:hint="default"/>
        <w:lang w:val="pl-PL" w:eastAsia="en-US" w:bidi="ar-SA"/>
      </w:rPr>
    </w:lvl>
    <w:lvl w:ilvl="2" w:tplc="AE545BDE">
      <w:numFmt w:val="bullet"/>
      <w:lvlText w:val="•"/>
      <w:lvlJc w:val="left"/>
      <w:pPr>
        <w:ind w:left="1983" w:hanging="245"/>
      </w:pPr>
      <w:rPr>
        <w:rFonts w:hint="default"/>
        <w:lang w:val="pl-PL" w:eastAsia="en-US" w:bidi="ar-SA"/>
      </w:rPr>
    </w:lvl>
    <w:lvl w:ilvl="3" w:tplc="CB9221D6">
      <w:numFmt w:val="bullet"/>
      <w:lvlText w:val="•"/>
      <w:lvlJc w:val="left"/>
      <w:pPr>
        <w:ind w:left="2904" w:hanging="245"/>
      </w:pPr>
      <w:rPr>
        <w:rFonts w:hint="default"/>
        <w:lang w:val="pl-PL" w:eastAsia="en-US" w:bidi="ar-SA"/>
      </w:rPr>
    </w:lvl>
    <w:lvl w:ilvl="4" w:tplc="50506E36">
      <w:numFmt w:val="bullet"/>
      <w:lvlText w:val="•"/>
      <w:lvlJc w:val="left"/>
      <w:pPr>
        <w:ind w:left="3826" w:hanging="245"/>
      </w:pPr>
      <w:rPr>
        <w:rFonts w:hint="default"/>
        <w:lang w:val="pl-PL" w:eastAsia="en-US" w:bidi="ar-SA"/>
      </w:rPr>
    </w:lvl>
    <w:lvl w:ilvl="5" w:tplc="ADD6767E">
      <w:numFmt w:val="bullet"/>
      <w:lvlText w:val="•"/>
      <w:lvlJc w:val="left"/>
      <w:pPr>
        <w:ind w:left="4748" w:hanging="245"/>
      </w:pPr>
      <w:rPr>
        <w:rFonts w:hint="default"/>
        <w:lang w:val="pl-PL" w:eastAsia="en-US" w:bidi="ar-SA"/>
      </w:rPr>
    </w:lvl>
    <w:lvl w:ilvl="6" w:tplc="2EC6EE0A">
      <w:numFmt w:val="bullet"/>
      <w:lvlText w:val="•"/>
      <w:lvlJc w:val="left"/>
      <w:pPr>
        <w:ind w:left="5669" w:hanging="245"/>
      </w:pPr>
      <w:rPr>
        <w:rFonts w:hint="default"/>
        <w:lang w:val="pl-PL" w:eastAsia="en-US" w:bidi="ar-SA"/>
      </w:rPr>
    </w:lvl>
    <w:lvl w:ilvl="7" w:tplc="8BF2265C">
      <w:numFmt w:val="bullet"/>
      <w:lvlText w:val="•"/>
      <w:lvlJc w:val="left"/>
      <w:pPr>
        <w:ind w:left="6591" w:hanging="245"/>
      </w:pPr>
      <w:rPr>
        <w:rFonts w:hint="default"/>
        <w:lang w:val="pl-PL" w:eastAsia="en-US" w:bidi="ar-SA"/>
      </w:rPr>
    </w:lvl>
    <w:lvl w:ilvl="8" w:tplc="040CC010">
      <w:numFmt w:val="bullet"/>
      <w:lvlText w:val="•"/>
      <w:lvlJc w:val="left"/>
      <w:pPr>
        <w:ind w:left="7513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62BE5815"/>
    <w:multiLevelType w:val="hybridMultilevel"/>
    <w:tmpl w:val="A684BA66"/>
    <w:lvl w:ilvl="0" w:tplc="5AAE51B2">
      <w:start w:val="1"/>
      <w:numFmt w:val="decimal"/>
      <w:lvlText w:val="%1."/>
      <w:lvlJc w:val="left"/>
      <w:pPr>
        <w:ind w:left="56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C149A6A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453C937C">
      <w:numFmt w:val="bullet"/>
      <w:lvlText w:val="•"/>
      <w:lvlJc w:val="left"/>
      <w:pPr>
        <w:ind w:left="2319" w:hanging="428"/>
      </w:pPr>
      <w:rPr>
        <w:rFonts w:hint="default"/>
        <w:lang w:val="pl-PL" w:eastAsia="en-US" w:bidi="ar-SA"/>
      </w:rPr>
    </w:lvl>
    <w:lvl w:ilvl="3" w:tplc="69DA4F02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8C8EA272">
      <w:numFmt w:val="bullet"/>
      <w:lvlText w:val="•"/>
      <w:lvlJc w:val="left"/>
      <w:pPr>
        <w:ind w:left="4078" w:hanging="428"/>
      </w:pPr>
      <w:rPr>
        <w:rFonts w:hint="default"/>
        <w:lang w:val="pl-PL" w:eastAsia="en-US" w:bidi="ar-SA"/>
      </w:rPr>
    </w:lvl>
    <w:lvl w:ilvl="5" w:tplc="6E8EA594">
      <w:numFmt w:val="bullet"/>
      <w:lvlText w:val="•"/>
      <w:lvlJc w:val="left"/>
      <w:pPr>
        <w:ind w:left="4958" w:hanging="428"/>
      </w:pPr>
      <w:rPr>
        <w:rFonts w:hint="default"/>
        <w:lang w:val="pl-PL" w:eastAsia="en-US" w:bidi="ar-SA"/>
      </w:rPr>
    </w:lvl>
    <w:lvl w:ilvl="6" w:tplc="ADE0EF72">
      <w:numFmt w:val="bullet"/>
      <w:lvlText w:val="•"/>
      <w:lvlJc w:val="left"/>
      <w:pPr>
        <w:ind w:left="5837" w:hanging="428"/>
      </w:pPr>
      <w:rPr>
        <w:rFonts w:hint="default"/>
        <w:lang w:val="pl-PL" w:eastAsia="en-US" w:bidi="ar-SA"/>
      </w:rPr>
    </w:lvl>
    <w:lvl w:ilvl="7" w:tplc="83E8F8A8">
      <w:numFmt w:val="bullet"/>
      <w:lvlText w:val="•"/>
      <w:lvlJc w:val="left"/>
      <w:pPr>
        <w:ind w:left="6717" w:hanging="428"/>
      </w:pPr>
      <w:rPr>
        <w:rFonts w:hint="default"/>
        <w:lang w:val="pl-PL" w:eastAsia="en-US" w:bidi="ar-SA"/>
      </w:rPr>
    </w:lvl>
    <w:lvl w:ilvl="8" w:tplc="06F66A88">
      <w:numFmt w:val="bullet"/>
      <w:lvlText w:val="•"/>
      <w:lvlJc w:val="left"/>
      <w:pPr>
        <w:ind w:left="7597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54"/>
    <w:rsid w:val="007602A8"/>
    <w:rsid w:val="00905154"/>
    <w:rsid w:val="00B8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74DA8-B13E-42E4-8F6E-57D66509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ind w:left="141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57"/>
      <w:ind w:left="141" w:right="383"/>
    </w:pPr>
  </w:style>
  <w:style w:type="paragraph" w:customStyle="1" w:styleId="TableParagraph">
    <w:name w:val="Table Paragraph"/>
    <w:basedOn w:val="Normalny"/>
    <w:uiPriority w:val="1"/>
    <w:qFormat/>
    <w:pPr>
      <w:spacing w:line="234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 Łukasz</dc:creator>
  <cp:lastModifiedBy>Joanna Wróblewska</cp:lastModifiedBy>
  <cp:revision>2</cp:revision>
  <dcterms:created xsi:type="dcterms:W3CDTF">2026-03-18T13:39:00Z</dcterms:created>
  <dcterms:modified xsi:type="dcterms:W3CDTF">2026-03-18T13:39:00Z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2026-03-18T00:00:00Z</vt:filetime>
  </property>
  <property fmtid="{D5CDD505-2E9C-101B-9397-08002B2CF9AE}" pid="5" name="Producer">
    <vt:lpwstr>3-Heights(TM) PDF Security Shell 4.8.25.2 (http://www.pdf-tools.com)</vt:lpwstr>
  </property>
</Properties>
</file>