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32" w:rsidRPr="00E31103" w:rsidRDefault="00E65116" w:rsidP="00E65116">
      <w:pPr>
        <w:pStyle w:val="Default"/>
        <w:framePr w:w="9498" w:wrap="auto" w:vAnchor="page" w:hAnchor="page" w:x="1292" w:y="1083"/>
        <w:rPr>
          <w:rFonts w:asciiTheme="majorHAnsi" w:hAnsiTheme="majorHAnsi"/>
          <w:color w:val="auto"/>
        </w:rPr>
      </w:pPr>
      <w:r>
        <w:rPr>
          <w:rFonts w:asciiTheme="majorHAnsi" w:hAnsiTheme="majorHAnsi"/>
          <w:color w:val="auto"/>
        </w:rPr>
        <w:t xml:space="preserve">Załącznik 8a do Ogłoszenia </w:t>
      </w:r>
    </w:p>
    <w:p w:rsidR="00D6182D" w:rsidRPr="00D6182D" w:rsidRDefault="00D6182D" w:rsidP="00D6182D">
      <w:pPr>
        <w:pStyle w:val="Default"/>
        <w:rPr>
          <w:rFonts w:asciiTheme="majorHAnsi" w:hAnsiTheme="majorHAnsi"/>
        </w:rPr>
      </w:pPr>
      <w:r w:rsidRPr="00D6182D">
        <w:rPr>
          <w:rFonts w:asciiTheme="majorHAnsi" w:hAnsiTheme="majorHAnsi"/>
          <w:noProof/>
        </w:rPr>
        <w:drawing>
          <wp:inline distT="0" distB="0" distL="0" distR="0" wp14:anchorId="32C6DAEB" wp14:editId="11C93101">
            <wp:extent cx="1419943" cy="56835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19943" cy="568356"/>
                    </a:xfrm>
                    <a:prstGeom prst="rect">
                      <a:avLst/>
                    </a:prstGeom>
                  </pic:spPr>
                </pic:pic>
              </a:graphicData>
            </a:graphic>
          </wp:inline>
        </w:drawing>
      </w:r>
      <w:r w:rsidRPr="00D6182D">
        <w:rPr>
          <w:rFonts w:asciiTheme="majorHAnsi" w:hAnsiTheme="majorHAnsi"/>
        </w:rPr>
        <w:tab/>
      </w:r>
      <w:r w:rsidRPr="00D6182D">
        <w:rPr>
          <w:rFonts w:asciiTheme="majorHAnsi" w:hAnsiTheme="majorHAnsi"/>
          <w:noProof/>
        </w:rPr>
        <w:drawing>
          <wp:inline distT="0" distB="0" distL="0" distR="0" wp14:anchorId="6E69BFB6" wp14:editId="69ECACD7">
            <wp:extent cx="1193886" cy="65341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193886" cy="653415"/>
                    </a:xfrm>
                    <a:prstGeom prst="rect">
                      <a:avLst/>
                    </a:prstGeom>
                  </pic:spPr>
                </pic:pic>
              </a:graphicData>
            </a:graphic>
          </wp:inline>
        </w:drawing>
      </w:r>
      <w:r w:rsidRPr="00D6182D">
        <w:rPr>
          <w:rFonts w:asciiTheme="majorHAnsi" w:hAnsiTheme="majorHAnsi"/>
        </w:rPr>
        <w:tab/>
      </w:r>
      <w:r w:rsidRPr="00D6182D">
        <w:rPr>
          <w:rFonts w:asciiTheme="majorHAnsi" w:hAnsiTheme="majorHAnsi"/>
        </w:rPr>
        <w:tab/>
      </w:r>
      <w:r>
        <w:rPr>
          <w:rFonts w:asciiTheme="majorHAnsi" w:hAnsiTheme="majorHAnsi"/>
        </w:rPr>
        <w:t xml:space="preserve">               </w:t>
      </w:r>
      <w:r w:rsidRPr="00D6182D">
        <w:rPr>
          <w:rFonts w:asciiTheme="majorHAnsi" w:hAnsiTheme="majorHAnsi"/>
          <w:noProof/>
        </w:rPr>
        <w:drawing>
          <wp:inline distT="0" distB="0" distL="0" distR="0" wp14:anchorId="4DAD53BB" wp14:editId="0D7212FD">
            <wp:extent cx="1767453" cy="633888"/>
            <wp:effectExtent l="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767453" cy="633888"/>
                    </a:xfrm>
                    <a:prstGeom prst="rect">
                      <a:avLst/>
                    </a:prstGeom>
                  </pic:spPr>
                </pic:pic>
              </a:graphicData>
            </a:graphic>
          </wp:inline>
        </w:drawing>
      </w: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Pr="00E31103" w:rsidRDefault="007F0DAD"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855BCB" w:rsidP="00443FA3">
      <w:pPr>
        <w:spacing w:after="0" w:line="240" w:lineRule="auto"/>
        <w:rPr>
          <w:rFonts w:asciiTheme="majorHAnsi" w:hAnsiTheme="majorHAnsi" w:cstheme="majorBidi"/>
          <w:b/>
          <w:sz w:val="24"/>
          <w:szCs w:val="24"/>
        </w:rPr>
      </w:pPr>
    </w:p>
    <w:p w:rsidR="00ED4232" w:rsidRPr="000349B9" w:rsidRDefault="000C6D1D" w:rsidP="000C6D1D">
      <w:pPr>
        <w:spacing w:after="0" w:line="240" w:lineRule="auto"/>
        <w:jc w:val="center"/>
        <w:rPr>
          <w:rFonts w:asciiTheme="majorHAnsi" w:hAnsiTheme="majorHAnsi" w:cstheme="majorBidi"/>
          <w:b/>
          <w:sz w:val="24"/>
          <w:szCs w:val="24"/>
        </w:rPr>
      </w:pPr>
      <w:r w:rsidRPr="000C6D1D">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41398F" w:rsidP="00443FA3">
      <w:pPr>
        <w:pStyle w:val="Default"/>
        <w:jc w:val="center"/>
        <w:rPr>
          <w:rFonts w:asciiTheme="majorHAnsi" w:hAnsiTheme="majorHAnsi"/>
          <w:i/>
          <w:color w:val="auto"/>
        </w:rPr>
      </w:pPr>
      <w:r>
        <w:rPr>
          <w:rFonts w:asciiTheme="majorHAnsi" w:hAnsiTheme="majorHAnsi"/>
          <w:i/>
          <w:color w:val="auto"/>
        </w:rPr>
        <w:t>Augustów , Grudzień 2019</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11"/>
          <w:footerReference w:type="default" r:id="rId12"/>
          <w:pgSz w:w="11906" w:h="17338"/>
          <w:pgMar w:top="1792" w:right="1274" w:bottom="1778" w:left="1190" w:header="708" w:footer="708" w:gutter="0"/>
          <w:cols w:space="708"/>
          <w:noEndnote/>
          <w:titlePg/>
          <w:docGrid w:linePitch="299"/>
        </w:sectPr>
      </w:pPr>
      <w:bookmarkStart w:id="0" w:name="_GoBack"/>
      <w:bookmarkEnd w:id="0"/>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Niniejsza </w:t>
      </w:r>
      <w:r w:rsidRPr="00920ADD">
        <w:rPr>
          <w:rFonts w:asciiTheme="majorHAnsi" w:hAnsiTheme="majorHAnsi"/>
          <w:i/>
          <w:iCs/>
        </w:rPr>
        <w:t xml:space="preserve">Instrukcja </w:t>
      </w:r>
      <w:r w:rsidRPr="00920ADD">
        <w:rPr>
          <w:rFonts w:asciiTheme="majorHAnsi" w:hAnsiTheme="majorHAnsi"/>
        </w:rPr>
        <w:t xml:space="preserve">ma na celu doprecyzowanie zapisów </w:t>
      </w:r>
      <w:r w:rsidRPr="00920ADD">
        <w:rPr>
          <w:rFonts w:asciiTheme="majorHAnsi" w:hAnsiTheme="majorHAnsi"/>
          <w:i/>
          <w:iCs/>
        </w:rPr>
        <w:t>Formularza w zakresie Oceny</w:t>
      </w:r>
      <w:r>
        <w:rPr>
          <w:rFonts w:asciiTheme="majorHAnsi" w:hAnsiTheme="majorHAnsi"/>
          <w:i/>
          <w:iCs/>
        </w:rPr>
        <w:t xml:space="preserve"> </w:t>
      </w:r>
      <w:r w:rsidRPr="00920ADD">
        <w:rPr>
          <w:rFonts w:asciiTheme="majorHAnsi" w:hAnsiTheme="majorHAnsi"/>
          <w:i/>
          <w:iCs/>
        </w:rPr>
        <w:t xml:space="preserve">Oddziaływania na Środowisko </w:t>
      </w:r>
      <w:r w:rsidRPr="00920ADD">
        <w:rPr>
          <w:rFonts w:asciiTheme="majorHAnsi" w:hAnsiTheme="majorHAnsi"/>
        </w:rPr>
        <w:t xml:space="preserve">tak, by w sposób jednoznaczny przedstawić wymagania </w:t>
      </w:r>
      <w:r w:rsidR="00154B49">
        <w:rPr>
          <w:rFonts w:asciiTheme="majorHAnsi" w:hAnsiTheme="majorHAnsi"/>
        </w:rPr>
        <w:t>Lokalnej Grupy Działania</w:t>
      </w:r>
      <w:r w:rsidRPr="00920ADD">
        <w:rPr>
          <w:rFonts w:asciiTheme="majorHAnsi" w:hAnsiTheme="majorHAnsi"/>
        </w:rPr>
        <w:t xml:space="preserve"> dla Wnioskodawców.</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Zakres wymaganej przez </w:t>
      </w:r>
      <w:r w:rsidR="00154B49">
        <w:rPr>
          <w:rFonts w:asciiTheme="majorHAnsi" w:hAnsiTheme="majorHAnsi"/>
        </w:rPr>
        <w:t>LGD</w:t>
      </w:r>
      <w:r w:rsidRPr="00920ADD">
        <w:rPr>
          <w:rFonts w:asciiTheme="majorHAnsi" w:hAnsiTheme="majorHAnsi"/>
        </w:rPr>
        <w:t xml:space="preserve"> dokumentacji środowiskowej wynika również z zapisów </w:t>
      </w:r>
      <w:r w:rsidRPr="00920ADD">
        <w:rPr>
          <w:rFonts w:asciiTheme="majorHAnsi" w:hAnsiTheme="majorHAnsi"/>
          <w:i/>
          <w:iCs/>
        </w:rPr>
        <w:t>Komunikatu</w:t>
      </w:r>
      <w:r>
        <w:rPr>
          <w:rFonts w:asciiTheme="majorHAnsi" w:hAnsiTheme="majorHAnsi"/>
          <w:i/>
          <w:iCs/>
        </w:rPr>
        <w:t xml:space="preserve"> </w:t>
      </w:r>
      <w:r w:rsidRPr="00920ADD">
        <w:rPr>
          <w:rFonts w:asciiTheme="majorHAnsi" w:hAnsiTheme="majorHAnsi"/>
          <w:i/>
          <w:iCs/>
        </w:rPr>
        <w:t>Ministra Rozwoju i Finansów z dnia 27 grudnia 2016 r. w sprawie uchylenia wytycznych Ministra</w:t>
      </w:r>
      <w:r>
        <w:rPr>
          <w:rFonts w:asciiTheme="majorHAnsi" w:hAnsiTheme="majorHAnsi"/>
          <w:i/>
          <w:iCs/>
        </w:rPr>
        <w:t xml:space="preserve"> </w:t>
      </w:r>
      <w:r w:rsidRPr="00920ADD">
        <w:rPr>
          <w:rFonts w:asciiTheme="majorHAnsi" w:hAnsiTheme="majorHAnsi"/>
          <w:i/>
          <w:iCs/>
        </w:rPr>
        <w:t>Infrastruktury i Rozwoju w zakresie dokumentowania postępowania w sprawie oceny oddziaływania</w:t>
      </w:r>
      <w:r>
        <w:rPr>
          <w:rFonts w:asciiTheme="majorHAnsi" w:hAnsiTheme="majorHAnsi"/>
          <w:i/>
          <w:iCs/>
        </w:rPr>
        <w:t xml:space="preserve"> </w:t>
      </w:r>
      <w:r w:rsidRPr="00920ADD">
        <w:rPr>
          <w:rFonts w:asciiTheme="majorHAnsi" w:hAnsiTheme="majorHAnsi"/>
          <w:i/>
          <w:iCs/>
        </w:rPr>
        <w:t>na środowisko dla przedsięwzięć współfinansowanych z krajowych lub regionalnych programów</w:t>
      </w:r>
      <w:r>
        <w:rPr>
          <w:rFonts w:asciiTheme="majorHAnsi" w:hAnsiTheme="majorHAnsi"/>
          <w:i/>
          <w:iCs/>
        </w:rPr>
        <w:t xml:space="preserve"> </w:t>
      </w:r>
      <w:r w:rsidRPr="00920ADD">
        <w:rPr>
          <w:rFonts w:asciiTheme="majorHAnsi" w:hAnsiTheme="majorHAnsi"/>
          <w:i/>
          <w:iCs/>
        </w:rPr>
        <w:t xml:space="preserve">operacyjnych. </w:t>
      </w:r>
      <w:r w:rsidRPr="00920ADD">
        <w:rPr>
          <w:rFonts w:asciiTheme="majorHAnsi" w:hAnsiTheme="majorHAnsi"/>
        </w:rPr>
        <w:t>Przedmiotowe wytyczne zostały uchylone z dniem 19 stycznia 2017 r. W związku z</w:t>
      </w:r>
      <w:r>
        <w:rPr>
          <w:rFonts w:asciiTheme="majorHAnsi" w:hAnsiTheme="majorHAnsi"/>
        </w:rPr>
        <w:t xml:space="preserve"> </w:t>
      </w:r>
      <w:r w:rsidRPr="00920ADD">
        <w:rPr>
          <w:rFonts w:asciiTheme="majorHAnsi" w:hAnsiTheme="majorHAnsi"/>
        </w:rPr>
        <w:t xml:space="preserve">tym </w:t>
      </w:r>
      <w:r w:rsidR="00154B49">
        <w:rPr>
          <w:rFonts w:asciiTheme="majorHAnsi" w:hAnsiTheme="majorHAnsi"/>
        </w:rPr>
        <w:t>LGD</w:t>
      </w:r>
      <w:r w:rsidRPr="00920ADD">
        <w:rPr>
          <w:rFonts w:asciiTheme="majorHAnsi" w:hAnsiTheme="majorHAnsi"/>
        </w:rPr>
        <w:t xml:space="preserve"> podjęła decyzję o ograniczeniu dokumentacji dotyczącej postępowań w sprawie oceny</w:t>
      </w:r>
      <w:r>
        <w:rPr>
          <w:rFonts w:asciiTheme="majorHAnsi" w:hAnsiTheme="majorHAnsi"/>
        </w:rPr>
        <w:t xml:space="preserve"> </w:t>
      </w:r>
      <w:r w:rsidRPr="00920ADD">
        <w:rPr>
          <w:rFonts w:asciiTheme="majorHAnsi" w:hAnsiTheme="majorHAnsi"/>
        </w:rPr>
        <w:t>oddziaływania na środowisko, która pozwala ocenić zgodność projektu z przepisami prawa</w:t>
      </w:r>
      <w:r>
        <w:rPr>
          <w:rFonts w:asciiTheme="majorHAnsi" w:hAnsiTheme="majorHAnsi"/>
        </w:rPr>
        <w:t xml:space="preserve"> </w:t>
      </w:r>
      <w:r w:rsidRPr="00920ADD">
        <w:rPr>
          <w:rFonts w:asciiTheme="majorHAnsi" w:hAnsiTheme="majorHAnsi"/>
        </w:rPr>
        <w:t>ochrony</w:t>
      </w:r>
      <w:r>
        <w:rPr>
          <w:rFonts w:asciiTheme="majorHAnsi" w:hAnsiTheme="majorHAnsi"/>
        </w:rPr>
        <w:t xml:space="preserve"> </w:t>
      </w:r>
      <w:r w:rsidRPr="00920ADD">
        <w:rPr>
          <w:rFonts w:asciiTheme="majorHAnsi" w:hAnsiTheme="majorHAnsi"/>
        </w:rPr>
        <w:t>środowiska.</w:t>
      </w:r>
    </w:p>
    <w:p w:rsidR="00920ADD" w:rsidRPr="00920ADD" w:rsidRDefault="00920ADD" w:rsidP="00920ADD">
      <w:pPr>
        <w:pStyle w:val="Default"/>
        <w:spacing w:after="120"/>
        <w:jc w:val="both"/>
        <w:rPr>
          <w:rFonts w:asciiTheme="majorHAnsi" w:hAnsiTheme="majorHAnsi"/>
          <w:b/>
          <w:bCs/>
        </w:rPr>
      </w:pPr>
      <w:r w:rsidRPr="00920ADD">
        <w:rPr>
          <w:rFonts w:asciiTheme="majorHAnsi" w:hAnsiTheme="majorHAnsi"/>
          <w:b/>
          <w:bCs/>
        </w:rPr>
        <w:t>Uwagi szczegółowe:</w:t>
      </w:r>
    </w:p>
    <w:p w:rsidR="00920ADD" w:rsidRPr="00920ADD" w:rsidRDefault="00920ADD" w:rsidP="00C931EB">
      <w:pPr>
        <w:pStyle w:val="Default"/>
        <w:numPr>
          <w:ilvl w:val="0"/>
          <w:numId w:val="108"/>
        </w:numPr>
        <w:spacing w:after="120"/>
        <w:ind w:left="357" w:hanging="357"/>
        <w:jc w:val="both"/>
        <w:rPr>
          <w:rFonts w:asciiTheme="majorHAnsi" w:hAnsiTheme="majorHAnsi"/>
        </w:rPr>
      </w:pPr>
      <w:r w:rsidRPr="00920ADD">
        <w:rPr>
          <w:rFonts w:asciiTheme="majorHAnsi" w:hAnsiTheme="majorHAnsi"/>
        </w:rPr>
        <w:t>W uzasadnionych przypadkach, mając na uwadze czytelność zawartych we wniosku</w:t>
      </w:r>
      <w:r w:rsidR="00C931EB">
        <w:rPr>
          <w:rFonts w:asciiTheme="majorHAnsi" w:hAnsiTheme="majorHAnsi"/>
        </w:rPr>
        <w:t xml:space="preserve"> </w:t>
      </w:r>
      <w:r w:rsidRPr="00920ADD">
        <w:rPr>
          <w:rFonts w:asciiTheme="majorHAnsi" w:hAnsiTheme="majorHAnsi"/>
        </w:rPr>
        <w:t>o dofinansowanie informacji, dotyczących projektu złożonego z kilku przedsięwzięć,</w:t>
      </w:r>
      <w:r w:rsidR="00C931EB">
        <w:rPr>
          <w:rFonts w:asciiTheme="majorHAnsi" w:hAnsiTheme="majorHAnsi"/>
        </w:rPr>
        <w:t xml:space="preserve"> </w:t>
      </w:r>
      <w:r w:rsidRPr="00920ADD">
        <w:rPr>
          <w:rFonts w:asciiTheme="majorHAnsi" w:hAnsiTheme="majorHAnsi"/>
        </w:rPr>
        <w:t>załącznik należy wypełnić oddzielnie dla każdego z nich.</w:t>
      </w:r>
      <w:r w:rsidR="00C931EB">
        <w:rPr>
          <w:rFonts w:asciiTheme="majorHAnsi" w:hAnsiTheme="majorHAnsi"/>
        </w:rPr>
        <w:t xml:space="preserve"> </w:t>
      </w:r>
    </w:p>
    <w:p w:rsidR="00C931EB" w:rsidRDefault="00920ADD" w:rsidP="00C931EB">
      <w:pPr>
        <w:pStyle w:val="Default"/>
        <w:spacing w:after="120"/>
        <w:ind w:left="357"/>
        <w:jc w:val="both"/>
        <w:rPr>
          <w:rFonts w:asciiTheme="majorHAnsi" w:hAnsiTheme="majorHAnsi"/>
        </w:rPr>
      </w:pPr>
      <w:r w:rsidRPr="00920ADD">
        <w:rPr>
          <w:rFonts w:asciiTheme="majorHAnsi" w:hAnsiTheme="majorHAnsi"/>
        </w:rPr>
        <w:t>Pojęcie „przedsięwzięcie" należy rozumieć zgodnie z ustawą z dnia 3 października 2008 r.</w:t>
      </w:r>
      <w:r w:rsidR="00C931EB">
        <w:rPr>
          <w:rFonts w:asciiTheme="majorHAnsi" w:hAnsiTheme="majorHAnsi"/>
        </w:rPr>
        <w:t xml:space="preserve"> </w:t>
      </w:r>
      <w:r w:rsidRPr="00920ADD">
        <w:rPr>
          <w:rFonts w:asciiTheme="majorHAnsi" w:hAnsiTheme="majorHAnsi"/>
        </w:rPr>
        <w:t>o udostępnianiu informacji o środowisku i jego ochronie, udziale społeczeństwa w ochronie</w:t>
      </w:r>
      <w:r w:rsidR="00C931EB">
        <w:rPr>
          <w:rFonts w:asciiTheme="majorHAnsi" w:hAnsiTheme="majorHAnsi"/>
        </w:rPr>
        <w:t xml:space="preserve"> </w:t>
      </w:r>
      <w:r w:rsidRPr="00920ADD">
        <w:rPr>
          <w:rFonts w:asciiTheme="majorHAnsi" w:hAnsiTheme="majorHAnsi"/>
        </w:rPr>
        <w:t xml:space="preserve">środowiska oraz o ocenach oddziaływania na środowisko, (dalej jako ustawa </w:t>
      </w:r>
      <w:proofErr w:type="spellStart"/>
      <w:r w:rsidRPr="00920ADD">
        <w:rPr>
          <w:rFonts w:asciiTheme="majorHAnsi" w:hAnsiTheme="majorHAnsi"/>
        </w:rPr>
        <w:t>ooś</w:t>
      </w:r>
      <w:proofErr w:type="spellEnd"/>
      <w:r w:rsidRPr="00920ADD">
        <w:rPr>
          <w:rFonts w:asciiTheme="majorHAnsi" w:hAnsiTheme="majorHAnsi"/>
        </w:rPr>
        <w:t>).</w:t>
      </w:r>
      <w:r w:rsidR="00C931EB">
        <w:rPr>
          <w:rFonts w:asciiTheme="majorHAnsi" w:hAnsiTheme="majorHAnsi"/>
        </w:rPr>
        <w:t xml:space="preserve"> </w:t>
      </w:r>
      <w:r w:rsidRPr="00920ADD">
        <w:rPr>
          <w:rFonts w:asciiTheme="majorHAnsi" w:hAnsiTheme="majorHAnsi"/>
        </w:rPr>
        <w:t>Informacje dotyczące przedsięwzięcia/-ć planowanych do realizacji zamieszczone</w:t>
      </w:r>
      <w:r w:rsidR="00C931EB">
        <w:rPr>
          <w:rFonts w:asciiTheme="majorHAnsi" w:hAnsiTheme="majorHAnsi"/>
        </w:rPr>
        <w:t xml:space="preserve"> </w:t>
      </w:r>
      <w:r w:rsidRPr="00920ADD">
        <w:rPr>
          <w:rFonts w:asciiTheme="majorHAnsi" w:hAnsiTheme="majorHAnsi"/>
        </w:rPr>
        <w:t>w załączniku powinny być spójne z informacjami podanymi we wniosku o dofinansowanie.</w:t>
      </w:r>
    </w:p>
    <w:p w:rsidR="00920ADD" w:rsidRPr="00920ADD" w:rsidRDefault="00920ADD" w:rsidP="000C6D1D">
      <w:pPr>
        <w:pStyle w:val="Default"/>
        <w:numPr>
          <w:ilvl w:val="0"/>
          <w:numId w:val="108"/>
        </w:numPr>
        <w:spacing w:after="120"/>
        <w:ind w:left="357" w:hanging="357"/>
        <w:jc w:val="both"/>
        <w:rPr>
          <w:rFonts w:asciiTheme="majorHAnsi" w:hAnsiTheme="majorHAnsi"/>
        </w:rPr>
      </w:pPr>
      <w:r w:rsidRPr="00920ADD">
        <w:rPr>
          <w:rFonts w:asciiTheme="majorHAnsi" w:hAnsiTheme="majorHAnsi"/>
        </w:rPr>
        <w:t>W polach niewypełnianych należy wpisać „nie dotyczy".</w:t>
      </w:r>
    </w:p>
    <w:p w:rsidR="00443FA3" w:rsidRPr="00E31103" w:rsidRDefault="00920ADD" w:rsidP="00DF517A">
      <w:pPr>
        <w:pStyle w:val="Default"/>
        <w:numPr>
          <w:ilvl w:val="0"/>
          <w:numId w:val="108"/>
        </w:numPr>
        <w:spacing w:after="120"/>
        <w:ind w:left="357" w:hanging="357"/>
        <w:jc w:val="both"/>
        <w:rPr>
          <w:rFonts w:asciiTheme="majorHAnsi" w:hAnsiTheme="majorHAnsi"/>
          <w:color w:val="auto"/>
        </w:rPr>
      </w:pPr>
      <w:r w:rsidRPr="00920ADD">
        <w:rPr>
          <w:rFonts w:asciiTheme="majorHAnsi" w:hAnsiTheme="majorHAnsi"/>
        </w:rPr>
        <w:t>Instytucja Organizująca Konkurs może każdorazowo w dokumentacji konkursowej określić,</w:t>
      </w:r>
      <w:r w:rsidR="00C931EB">
        <w:rPr>
          <w:rFonts w:asciiTheme="majorHAnsi" w:hAnsiTheme="majorHAnsi"/>
        </w:rPr>
        <w:t xml:space="preserve"> </w:t>
      </w:r>
      <w:r w:rsidRPr="00920ADD">
        <w:rPr>
          <w:rFonts w:asciiTheme="majorHAnsi" w:hAnsiTheme="majorHAnsi"/>
        </w:rPr>
        <w:t>czy istnieje wymóg dostarczania przedmiotowego załącznika. Przykładowo, w przypadku</w:t>
      </w:r>
      <w:r w:rsidR="00C931EB">
        <w:rPr>
          <w:rFonts w:asciiTheme="majorHAnsi" w:hAnsiTheme="majorHAnsi"/>
        </w:rPr>
        <w:t xml:space="preserve"> </w:t>
      </w:r>
      <w:r w:rsidRPr="00920ADD">
        <w:rPr>
          <w:rFonts w:asciiTheme="majorHAnsi" w:hAnsiTheme="majorHAnsi"/>
        </w:rPr>
        <w:t>projektów nieinfrastrukturalnych, Wnioskodawcy mogą być zwolnieni z konieczności</w:t>
      </w:r>
      <w:r w:rsidR="00C931EB">
        <w:rPr>
          <w:rFonts w:asciiTheme="majorHAnsi" w:hAnsiTheme="majorHAnsi"/>
        </w:rPr>
        <w:t xml:space="preserve"> </w:t>
      </w:r>
      <w:r w:rsidRPr="00920ADD">
        <w:rPr>
          <w:rFonts w:asciiTheme="majorHAnsi" w:hAnsiTheme="majorHAnsi"/>
          <w:color w:val="auto"/>
        </w:rPr>
        <w:t>wypełniania załącznika.</w:t>
      </w:r>
    </w:p>
    <w:p w:rsidR="00443FA3" w:rsidRPr="00E31103" w:rsidRDefault="00443FA3" w:rsidP="008A085F">
      <w:pPr>
        <w:pStyle w:val="Default"/>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165A53" w:rsidRDefault="007D3D73" w:rsidP="007D3D73">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6D76DD">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65A53">
        <w:rPr>
          <w:rFonts w:asciiTheme="majorHAnsi" w:hAnsiTheme="majorHAnsi"/>
          <w:color w:val="auto"/>
        </w:rPr>
        <w:t xml:space="preserve"> </w:t>
      </w:r>
      <w:r w:rsidR="005451B2" w:rsidRPr="00165A53">
        <w:rPr>
          <w:rFonts w:asciiTheme="majorHAnsi" w:hAnsiTheme="majorHAnsi"/>
          <w:color w:val="auto"/>
        </w:rPr>
        <w:t>jest zgodny z zasadą ostrożności, zasadą działania zapobiegawczego oraz zasadą naprawiania szkody w pierwszym rzędzie u źródła i zasadą zanieczyszczający płaci.</w:t>
      </w:r>
      <w:r w:rsidRPr="00165A53">
        <w:rPr>
          <w:rFonts w:asciiTheme="majorHAnsi" w:hAnsiTheme="majorHAnsi"/>
          <w:color w:val="auto"/>
        </w:rPr>
        <w:t xml:space="preserve">  </w:t>
      </w:r>
    </w:p>
    <w:p w:rsidR="007D3D73" w:rsidRPr="00165A53" w:rsidRDefault="00165A53" w:rsidP="007D3D73">
      <w:pPr>
        <w:pStyle w:val="Default"/>
        <w:numPr>
          <w:ilvl w:val="0"/>
          <w:numId w:val="109"/>
        </w:numPr>
        <w:spacing w:after="120"/>
        <w:jc w:val="both"/>
        <w:rPr>
          <w:rFonts w:asciiTheme="majorHAnsi" w:hAnsiTheme="majorHAnsi"/>
          <w:color w:val="auto"/>
        </w:rPr>
      </w:pPr>
      <w:r>
        <w:rPr>
          <w:rFonts w:asciiTheme="majorHAnsi" w:hAnsiTheme="majorHAnsi"/>
          <w:color w:val="auto"/>
        </w:rPr>
        <w:t>n</w:t>
      </w:r>
      <w:r w:rsidR="007D3D73" w:rsidRPr="00165A53">
        <w:rPr>
          <w:rFonts w:asciiTheme="majorHAnsi" w:hAnsiTheme="majorHAnsi"/>
          <w:color w:val="auto"/>
        </w:rPr>
        <w:t>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w:t>
      </w:r>
    </w:p>
    <w:p w:rsidR="007D3D73" w:rsidRPr="00D27831" w:rsidRDefault="007D3D73" w:rsidP="00DF016A">
      <w:pPr>
        <w:pStyle w:val="Default"/>
        <w:jc w:val="both"/>
        <w:rPr>
          <w:rFonts w:asciiTheme="majorHAnsi" w:hAnsiTheme="majorHAnsi"/>
          <w:color w:val="auto"/>
        </w:rPr>
      </w:pPr>
      <w:r w:rsidRPr="000349B9">
        <w:rPr>
          <w:rFonts w:asciiTheme="majorHAnsi" w:hAnsiTheme="majorHAnsi"/>
          <w:color w:val="auto"/>
        </w:rPr>
        <w:lastRenderedPageBreak/>
        <w:t>Przykładowa lista dokumentów:</w:t>
      </w:r>
    </w:p>
    <w:p w:rsidR="00DF016A" w:rsidRDefault="00634D61" w:rsidP="00DF016A">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 xml:space="preserve">Krajowy Plan Działań dotyczący efektywności </w:t>
      </w:r>
      <w:r w:rsidR="005451B2" w:rsidRPr="00DF016A">
        <w:rPr>
          <w:rFonts w:asciiTheme="majorHAnsi" w:hAnsiTheme="majorHAnsi"/>
          <w:i/>
          <w:color w:val="auto"/>
        </w:rPr>
        <w:t>energetycznej dla Polski (2014),</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Ocena ryzyka na potrzeby zarządzania kryzysowego. Raport o zagrożeniach bezpieczeństwa narodowego (2013)</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Polityka energetyczna Polski do 2030 roku (2009)</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Polityka klimatyczna Polski. Strategia redukcji emisji gazów cieplarnianych w Polsce do roku 2020 (2003)</w:t>
      </w:r>
      <w:r w:rsidR="005451B2" w:rsidRPr="00D667C9">
        <w:rPr>
          <w:rFonts w:asciiTheme="majorHAnsi" w:hAnsiTheme="majorHAnsi"/>
          <w:i/>
          <w:color w:val="auto"/>
        </w:rPr>
        <w:t>,</w:t>
      </w:r>
    </w:p>
    <w:p w:rsidR="00D667C9" w:rsidRDefault="00634D61" w:rsidP="00D667C9">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Strategia Bezpieczeństwo Energetyczne i Środowisko (2014)</w:t>
      </w:r>
      <w:r w:rsidR="005451B2" w:rsidRPr="00D667C9">
        <w:rPr>
          <w:rFonts w:asciiTheme="majorHAnsi" w:hAnsiTheme="majorHAnsi"/>
          <w:i/>
          <w:color w:val="auto"/>
        </w:rPr>
        <w:t>,</w:t>
      </w:r>
    </w:p>
    <w:p w:rsidR="00634D61" w:rsidRPr="00D667C9" w:rsidRDefault="00634D61" w:rsidP="00DD0A17">
      <w:pPr>
        <w:pStyle w:val="Default"/>
        <w:numPr>
          <w:ilvl w:val="0"/>
          <w:numId w:val="110"/>
        </w:numPr>
        <w:spacing w:after="120"/>
        <w:ind w:left="714" w:hanging="357"/>
        <w:jc w:val="both"/>
        <w:rPr>
          <w:rFonts w:asciiTheme="majorHAnsi" w:hAnsiTheme="majorHAnsi"/>
          <w:i/>
          <w:color w:val="auto"/>
        </w:rPr>
      </w:pPr>
      <w:r w:rsidRPr="00D667C9">
        <w:rPr>
          <w:rFonts w:asciiTheme="majorHAnsi" w:hAnsiTheme="majorHAnsi"/>
          <w:i/>
          <w:color w:val="auto"/>
        </w:rPr>
        <w:t>Projekt Narodowego Programu Rozwoju Gospodarki Niskoemisyjnej (2015)</w:t>
      </w:r>
      <w:r w:rsidR="005451B2" w:rsidRPr="00D667C9">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 xml:space="preserve">ą się w „Poradniku przygotowania inwestycji z uwzględnieniem zmian klimatu, ich łagodzenia i przystosowania do tych zmian oraz odporności na klęski żywiołowe”. Poradnik dostępny jest na portalu KLIMADA </w:t>
      </w:r>
      <w:hyperlink r:id="rId13" w:history="1">
        <w:r w:rsidR="005451B2" w:rsidRPr="00AC7878">
          <w:rPr>
            <w:rStyle w:val="Hipercze"/>
            <w:rFonts w:asciiTheme="majorHAnsi" w:hAnsiTheme="majorHAnsi"/>
          </w:rPr>
          <w:t>http://klimada.mos.gov.pl/blog/2015/10/30/poradnik_przygotowania_inwestycj/</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w:t>
      </w:r>
      <w:r w:rsidR="00DD0A17">
        <w:rPr>
          <w:rFonts w:asciiTheme="majorHAnsi" w:hAnsiTheme="majorHAnsi"/>
          <w:color w:val="auto"/>
        </w:rPr>
        <w:t xml:space="preserve"> zmniejszenia rozmiarów szkody.</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w:t>
      </w:r>
      <w:r w:rsidR="00DF517A">
        <w:rPr>
          <w:rFonts w:asciiTheme="majorHAnsi" w:hAnsiTheme="majorHAnsi"/>
          <w:color w:val="auto"/>
        </w:rPr>
        <w:t>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w:t>
      </w:r>
      <w:r w:rsidR="00DF517A">
        <w:rPr>
          <w:rFonts w:asciiTheme="majorHAnsi" w:hAnsiTheme="majorHAnsi"/>
          <w:color w:val="auto"/>
        </w:rPr>
        <w:t>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DF517A">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4B1BFE" w:rsidRDefault="00EC3C4B" w:rsidP="00BA5391">
      <w:pPr>
        <w:pStyle w:val="Default"/>
        <w:numPr>
          <w:ilvl w:val="0"/>
          <w:numId w:val="107"/>
        </w:numPr>
        <w:spacing w:after="120"/>
        <w:jc w:val="both"/>
        <w:rPr>
          <w:rFonts w:asciiTheme="majorHAnsi" w:hAnsiTheme="majorHAnsi"/>
          <w:color w:val="auto"/>
        </w:rPr>
      </w:pPr>
      <w:r w:rsidRPr="004B1BFE">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4B1BFE" w:rsidRDefault="00EC3C4B" w:rsidP="00BA5391">
      <w:pPr>
        <w:pStyle w:val="Default"/>
        <w:numPr>
          <w:ilvl w:val="0"/>
          <w:numId w:val="106"/>
        </w:numPr>
        <w:spacing w:after="120"/>
        <w:jc w:val="both"/>
        <w:rPr>
          <w:rFonts w:asciiTheme="majorHAnsi" w:hAnsiTheme="majorHAnsi"/>
          <w:color w:val="auto"/>
        </w:rPr>
      </w:pPr>
      <w:r w:rsidRPr="004B1BFE">
        <w:rPr>
          <w:rFonts w:asciiTheme="majorHAnsi" w:hAnsiTheme="majorHAnsi"/>
          <w:color w:val="auto"/>
        </w:rPr>
        <w:lastRenderedPageBreak/>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4"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01816">
      <w:pPr>
        <w:pStyle w:val="Default"/>
        <w:jc w:val="both"/>
        <w:rPr>
          <w:rFonts w:asciiTheme="majorHAnsi" w:hAnsiTheme="majorHAnsi"/>
          <w:b/>
          <w:color w:val="4F81BD" w:themeColor="accent1"/>
        </w:rPr>
      </w:pPr>
    </w:p>
    <w:p w:rsidR="00AD4D05" w:rsidRPr="00514135" w:rsidRDefault="00634D61" w:rsidP="00AD4D0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401816" w:rsidRDefault="00634D61" w:rsidP="00BA5391">
      <w:pPr>
        <w:pStyle w:val="Default"/>
        <w:numPr>
          <w:ilvl w:val="0"/>
          <w:numId w:val="105"/>
        </w:numPr>
        <w:spacing w:after="120"/>
        <w:jc w:val="both"/>
        <w:rPr>
          <w:rFonts w:asciiTheme="majorHAnsi" w:hAnsiTheme="majorHAnsi"/>
        </w:rPr>
      </w:pPr>
      <w:r w:rsidRPr="00401816">
        <w:rPr>
          <w:rFonts w:asciiTheme="majorHAnsi" w:hAnsiTheme="majorHAnsi"/>
        </w:rPr>
        <w:t>Dyrektywa Rady 92/43/EWG z dnia 21 maja 1992 r. w sprawie ochrony siedlisk przyrodniczych oraz dzikiej fauny i f</w:t>
      </w:r>
      <w:r w:rsidR="00ED0694" w:rsidRPr="00401816">
        <w:rPr>
          <w:rFonts w:asciiTheme="majorHAnsi" w:hAnsiTheme="majorHAnsi"/>
        </w:rPr>
        <w:t>lory (Dz.U. L 206 z 22.07.1992,</w:t>
      </w:r>
      <w:r w:rsidR="00ED0694" w:rsidRPr="00401816">
        <w:rPr>
          <w:rFonts w:asciiTheme="majorHAnsi" w:hAnsiTheme="majorHAnsi"/>
        </w:rPr>
        <w:br/>
      </w:r>
      <w:r w:rsidRPr="00401816">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AA217A" w:rsidRPr="00AA217A">
        <w:rPr>
          <w:rFonts w:asciiTheme="majorHAnsi" w:hAnsiTheme="majorHAnsi"/>
          <w:i/>
        </w:rPr>
        <w:t>D</w:t>
      </w:r>
      <w:r w:rsidRPr="00AA217A">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AA217A">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AA217A">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AD4D05" w:rsidP="00A56686">
      <w:pPr>
        <w:pStyle w:val="Default"/>
        <w:spacing w:after="200"/>
        <w:rPr>
          <w:rFonts w:asciiTheme="majorHAnsi" w:hAnsiTheme="majorHAnsi"/>
        </w:rPr>
      </w:pPr>
      <w:r w:rsidRPr="00E31103">
        <w:rPr>
          <w:rFonts w:asciiTheme="majorHAnsi" w:hAnsiTheme="majorHAnsi"/>
        </w:rPr>
        <w:t xml:space="preserve">Dokumenty (w polskiej wersji językowej) można znaleźć na stronie internetowej pod adresem: </w:t>
      </w:r>
      <w:hyperlink r:id="rId15" w:history="1">
        <w:r w:rsidRPr="00E31103">
          <w:rPr>
            <w:rStyle w:val="Hipercze"/>
            <w:rFonts w:asciiTheme="majorHAnsi" w:hAnsiTheme="majorHAnsi"/>
          </w:rPr>
          <w:t>http://ec.europa.eu/environment/nature/natura2000/management/guidance_en.htm</w:t>
        </w:r>
      </w:hyperlink>
      <w:r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w:t>
      </w:r>
      <w:r w:rsidRPr="00A56686">
        <w:rPr>
          <w:rFonts w:asciiTheme="majorHAnsi" w:hAnsiTheme="majorHAnsi"/>
          <w:b/>
          <w:i/>
          <w:color w:val="auto"/>
        </w:rPr>
        <w:t>Zaświadczenia organu odpowiedzialnego za monitorowanie obszarów Natura 2000</w:t>
      </w:r>
      <w:r w:rsidRPr="00E31103">
        <w:rPr>
          <w:rFonts w:asciiTheme="majorHAnsi" w:hAnsiTheme="majorHAnsi"/>
          <w:b/>
          <w:color w:val="auto"/>
        </w:rPr>
        <w:t>.</w:t>
      </w:r>
    </w:p>
    <w:p w:rsidR="005401D3" w:rsidRPr="00E31103" w:rsidRDefault="005401D3" w:rsidP="008A085F">
      <w:pPr>
        <w:pStyle w:val="Default"/>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lastRenderedPageBreak/>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4C796D">
      <w:pPr>
        <w:pStyle w:val="Nagwek2"/>
        <w:numPr>
          <w:ilvl w:val="1"/>
          <w:numId w:val="0"/>
        </w:numPr>
        <w:tabs>
          <w:tab w:val="num" w:pos="1843"/>
        </w:tabs>
        <w:spacing w:after="120"/>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514135" w:rsidRDefault="00310274" w:rsidP="00357030">
      <w:pPr>
        <w:jc w:val="both"/>
        <w:rPr>
          <w:rFonts w:asciiTheme="majorHAnsi" w:hAnsiTheme="majorHAnsi"/>
          <w:sz w:val="24"/>
          <w:szCs w:val="24"/>
        </w:rPr>
      </w:pPr>
      <w:r w:rsidRPr="00310274">
        <w:rPr>
          <w:rStyle w:val="FontStyle47"/>
          <w:rFonts w:asciiTheme="majorHAnsi" w:hAnsiTheme="majorHAnsi"/>
          <w:sz w:val="24"/>
          <w:szCs w:val="24"/>
        </w:rPr>
        <w:t xml:space="preserve">Punkt dotyczy wyłącznie projektów dużych w rozumieniu art. 100 rozporządzenia (UE) nr 1303/2013. </w:t>
      </w:r>
      <w:r w:rsidR="00634D61"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9C5365">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9C5365">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357030">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43FA3">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57030" w:rsidRPr="00357030" w:rsidRDefault="00357030" w:rsidP="00357030">
      <w:pPr>
        <w:pStyle w:val="Default"/>
        <w:spacing w:after="120"/>
        <w:jc w:val="both"/>
        <w:rPr>
          <w:rFonts w:asciiTheme="majorHAnsi" w:hAnsiTheme="majorHAnsi"/>
        </w:rPr>
      </w:pPr>
      <w:r w:rsidRPr="00357030">
        <w:rPr>
          <w:rFonts w:asciiTheme="majorHAnsi" w:hAnsiTheme="majorHAnsi"/>
        </w:rPr>
        <w:t>Punkt dotyczy projektów, które z racji swego charakteru i zakresu mogą oddziaływać na określoną jednolitą część wód.</w:t>
      </w:r>
    </w:p>
    <w:p w:rsidR="00357030" w:rsidRDefault="00357030" w:rsidP="00357030">
      <w:pPr>
        <w:pStyle w:val="Default"/>
        <w:spacing w:after="120"/>
        <w:jc w:val="both"/>
        <w:rPr>
          <w:rFonts w:asciiTheme="majorHAnsi" w:hAnsiTheme="majorHAnsi"/>
        </w:rPr>
      </w:pPr>
      <w:r w:rsidRPr="00357030">
        <w:rPr>
          <w:rFonts w:asciiTheme="majorHAnsi" w:hAnsiTheme="majorHAnsi"/>
        </w:rPr>
        <w:t>W przedmiotowym punkcie należy dokonać identyfikacji jednolitych części wód, których dotyczy planowany projekt oraz przypisanych im celów środowiskowych.</w:t>
      </w:r>
    </w:p>
    <w:p w:rsidR="00302DF4" w:rsidRPr="00BA5391" w:rsidRDefault="00634D61" w:rsidP="00357030">
      <w:pPr>
        <w:pStyle w:val="Default"/>
        <w:spacing w:after="120"/>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357030">
      <w:pPr>
        <w:pStyle w:val="Default"/>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F67FF1" w:rsidRDefault="008D31D6" w:rsidP="008D31D6">
      <w:pPr>
        <w:pStyle w:val="Default"/>
        <w:spacing w:after="120"/>
        <w:jc w:val="both"/>
        <w:rPr>
          <w:rFonts w:asciiTheme="majorHAnsi" w:hAnsiTheme="majorHAnsi"/>
          <w:b/>
          <w:color w:val="auto"/>
        </w:rPr>
      </w:pPr>
      <w:r w:rsidRPr="00F67FF1">
        <w:rPr>
          <w:rFonts w:asciiTheme="majorHAnsi" w:hAnsiTheme="majorHAnsi"/>
        </w:rPr>
        <w:t xml:space="preserve">Dla każdej z wymienionych dyrektyw, jeśli dotyczy to projektu, należy wskazać odpowiednie decyzje administracyjne, w których organ administracji dokonał </w:t>
      </w:r>
      <w:r w:rsidR="00C0313B" w:rsidRPr="00F67FF1">
        <w:rPr>
          <w:rFonts w:asciiTheme="majorHAnsi" w:hAnsiTheme="majorHAnsi"/>
        </w:rPr>
        <w:t>stosownego rozpatrzenia</w:t>
      </w:r>
      <w:r w:rsidR="00F67FF1">
        <w:rPr>
          <w:rFonts w:asciiTheme="majorHAnsi" w:hAnsiTheme="majorHAnsi"/>
        </w:rPr>
        <w:t xml:space="preserve"> zgodnie </w:t>
      </w:r>
      <w:r w:rsidRPr="00F67FF1">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lastRenderedPageBreak/>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F67FF1" w:rsidRDefault="004019CD" w:rsidP="00F67FF1">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F67FF1" w:rsidRDefault="004019CD" w:rsidP="00781235">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0F61E2" w:rsidRDefault="004019CD" w:rsidP="000F61E2">
      <w:pPr>
        <w:pStyle w:val="Default"/>
        <w:numPr>
          <w:ilvl w:val="0"/>
          <w:numId w:val="111"/>
        </w:numPr>
        <w:ind w:left="714" w:hanging="357"/>
        <w:jc w:val="both"/>
        <w:rPr>
          <w:rFonts w:asciiTheme="majorHAnsi" w:hAnsiTheme="majorHAnsi"/>
          <w:color w:val="auto"/>
        </w:rPr>
      </w:pPr>
      <w:r w:rsidRPr="00F67FF1">
        <w:rPr>
          <w:rFonts w:asciiTheme="majorHAnsi" w:hAnsiTheme="majorHAnsi"/>
          <w:color w:val="auto"/>
        </w:rPr>
        <w:t>Zgodnie z przepisami dyrektywy ściekowej warunkami koniecznymi do spełnienia przez aglomeracje jej wymogów są następujące aspekty, do których należy się odnieść:</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wydajność oczyszczalni ścieków w aglomeracjach, która musi odpowiadać ładunkowi generowanemu na ich obszarze;</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0F61E2">
        <w:rPr>
          <w:rFonts w:asciiTheme="majorHAnsi" w:hAnsiTheme="majorHAnsi"/>
          <w:color w:val="auto"/>
        </w:rPr>
        <w:t>iska wodnego</w:t>
      </w:r>
      <w:r w:rsidRPr="000F61E2">
        <w:rPr>
          <w:rFonts w:asciiTheme="majorHAnsi" w:hAnsiTheme="majorHAnsi"/>
          <w:color w:val="auto"/>
        </w:rPr>
        <w:t>.</w:t>
      </w:r>
    </w:p>
    <w:p w:rsidR="004019CD" w:rsidRPr="000F61E2" w:rsidRDefault="004019CD" w:rsidP="004019CD">
      <w:pPr>
        <w:pStyle w:val="Default"/>
        <w:numPr>
          <w:ilvl w:val="0"/>
          <w:numId w:val="112"/>
        </w:numPr>
        <w:spacing w:after="120"/>
        <w:ind w:left="1077" w:hanging="357"/>
        <w:jc w:val="both"/>
        <w:rPr>
          <w:rFonts w:asciiTheme="majorHAnsi" w:hAnsiTheme="majorHAnsi"/>
          <w:color w:val="auto"/>
        </w:rPr>
      </w:pPr>
      <w:r w:rsidRPr="000F61E2">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Należy podać, w jaki sposób projekt przyczynia się do osiągnięcia celów w zakresie przygotowania do ponownego użycia i recyklingu określonych frakcji odpadów </w:t>
      </w:r>
      <w:r w:rsidRPr="00654FF7">
        <w:rPr>
          <w:rFonts w:asciiTheme="majorHAnsi" w:hAnsiTheme="majorHAnsi"/>
          <w:color w:val="auto"/>
        </w:rPr>
        <w:lastRenderedPageBreak/>
        <w:t>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0349B9">
        <w:rPr>
          <w:rFonts w:asciiTheme="majorHAnsi" w:hAnsiTheme="majorHAnsi" w:cs="Times New Roman"/>
          <w:b/>
          <w:iCs/>
          <w:sz w:val="24"/>
          <w:szCs w:val="24"/>
          <w:u w:val="single"/>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522A70">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514135">
      <w:pPr>
        <w:tabs>
          <w:tab w:val="num" w:pos="1080"/>
        </w:tabs>
        <w:spacing w:after="12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8A085F">
      <w:pPr>
        <w:tabs>
          <w:tab w:val="num" w:pos="1080"/>
        </w:tabs>
        <w:spacing w:after="0"/>
        <w:jc w:val="both"/>
        <w:rPr>
          <w:rFonts w:asciiTheme="majorHAnsi" w:hAnsiTheme="majorHAnsi"/>
          <w:b/>
        </w:rPr>
      </w:pPr>
    </w:p>
    <w:p w:rsidR="00634D61" w:rsidRPr="00514135" w:rsidRDefault="00634D61" w:rsidP="008A085F">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A57A2D">
      <w:pPr>
        <w:pStyle w:val="Default"/>
        <w:spacing w:after="120"/>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8A085F">
      <w:pPr>
        <w:pStyle w:val="Default"/>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lastRenderedPageBreak/>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r w:rsidR="005F044E">
        <w:rPr>
          <w:rFonts w:asciiTheme="majorHAnsi" w:hAnsiTheme="majorHAnsi" w:cs="Times New Roman"/>
          <w:b/>
          <w:iCs/>
          <w:sz w:val="24"/>
          <w:szCs w:val="24"/>
          <w:u w:val="single"/>
        </w:rPr>
        <w:t>, które z racji realizowanego przedmiotu mogą przyczynić się do łagodzenia zmian klimatu</w:t>
      </w:r>
      <w:r w:rsidRPr="00BA5391">
        <w:rPr>
          <w:rFonts w:asciiTheme="majorHAnsi" w:hAnsiTheme="majorHAnsi" w:cs="Times New Roman"/>
          <w:b/>
          <w:iCs/>
          <w:sz w:val="24"/>
          <w:szCs w:val="24"/>
          <w:u w:val="single"/>
        </w:rPr>
        <w:t>.</w:t>
      </w:r>
    </w:p>
    <w:p w:rsidR="00634D61" w:rsidRDefault="00943174" w:rsidP="005B2019">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6"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455491">
      <w:pPr>
        <w:spacing w:after="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5B2019">
        <w:rPr>
          <w:rFonts w:asciiTheme="majorHAnsi" w:hAnsiTheme="majorHAnsi" w:cs="Times New Roman"/>
          <w:b/>
          <w:iCs/>
          <w:sz w:val="24"/>
          <w:szCs w:val="24"/>
        </w:rPr>
        <w:t>inteligentny</w:t>
      </w:r>
      <w:r w:rsidR="00634D61" w:rsidRPr="005B2019">
        <w:rPr>
          <w:rFonts w:asciiTheme="majorHAnsi" w:hAnsiTheme="majorHAnsi" w:cs="Times New Roman"/>
          <w:iCs/>
          <w:sz w:val="24"/>
          <w:szCs w:val="24"/>
        </w:rPr>
        <w:t xml:space="preserve"> dzięki bardziej efektywnym inwestyc</w:t>
      </w:r>
      <w:r w:rsidR="00E02AB1" w:rsidRPr="005B2019">
        <w:rPr>
          <w:rFonts w:asciiTheme="majorHAnsi" w:hAnsiTheme="majorHAnsi" w:cs="Times New Roman"/>
          <w:iCs/>
          <w:sz w:val="24"/>
          <w:szCs w:val="24"/>
        </w:rPr>
        <w:t>jom w edukację, badania naukowe</w:t>
      </w:r>
      <w:r w:rsidR="00C0313B" w:rsidRPr="005B2019">
        <w:rPr>
          <w:rFonts w:asciiTheme="majorHAnsi" w:hAnsiTheme="majorHAnsi" w:cs="Times New Roman"/>
          <w:iCs/>
          <w:sz w:val="24"/>
          <w:szCs w:val="24"/>
        </w:rPr>
        <w:br/>
      </w:r>
      <w:r w:rsidR="00634D61" w:rsidRPr="005B2019">
        <w:rPr>
          <w:rFonts w:asciiTheme="majorHAnsi" w:hAnsiTheme="majorHAnsi" w:cs="Times New Roman"/>
          <w:iCs/>
          <w:sz w:val="24"/>
          <w:szCs w:val="24"/>
        </w:rPr>
        <w:t>i innowacje,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zrównoważony</w:t>
      </w:r>
      <w:r w:rsidR="00634D61" w:rsidRPr="00455491">
        <w:rPr>
          <w:rFonts w:asciiTheme="majorHAnsi" w:hAnsiTheme="majorHAnsi" w:cs="Times New Roman"/>
          <w:iCs/>
          <w:sz w:val="24"/>
          <w:szCs w:val="24"/>
        </w:rPr>
        <w:t xml:space="preserve"> dzięki zdecydowanemu przesunięciu w kierunku gospodarki niskoemisyjnej,</w:t>
      </w:r>
    </w:p>
    <w:p w:rsidR="00634D61" w:rsidRP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sprzyjający włączeniu społecznemu</w:t>
      </w:r>
      <w:r w:rsidR="00634D61" w:rsidRPr="00455491">
        <w:rPr>
          <w:rFonts w:asciiTheme="majorHAnsi" w:hAnsiTheme="majorHAnsi" w:cs="Times New Roman"/>
          <w:iCs/>
          <w:sz w:val="24"/>
          <w:szCs w:val="24"/>
        </w:rPr>
        <w:t>, ze szczególnym naciskiem na tworzenie nowych miejsc pracy i ograniczanie ubóstwa.</w:t>
      </w:r>
    </w:p>
    <w:p w:rsidR="00455491" w:rsidRDefault="00634D61" w:rsidP="00455491">
      <w:pPr>
        <w:spacing w:after="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 xml:space="preserve">ograniczenie emisji gazów cieplarnianych o 20% </w:t>
      </w:r>
      <w:r w:rsidR="00E02AB1" w:rsidRPr="00455491">
        <w:rPr>
          <w:rFonts w:asciiTheme="majorHAnsi" w:hAnsiTheme="majorHAnsi" w:cs="Times New Roman"/>
          <w:iCs/>
          <w:sz w:val="24"/>
          <w:szCs w:val="24"/>
        </w:rPr>
        <w:t>w stosunku do poziomu z 1990 r.</w:t>
      </w:r>
      <w:r w:rsidR="00C0313B" w:rsidRPr="00455491">
        <w:rPr>
          <w:rFonts w:asciiTheme="majorHAnsi" w:hAnsiTheme="majorHAnsi" w:cs="Times New Roman"/>
          <w:iCs/>
          <w:sz w:val="24"/>
          <w:szCs w:val="24"/>
        </w:rPr>
        <w:br/>
      </w:r>
      <w:r w:rsidRPr="00455491">
        <w:rPr>
          <w:rFonts w:asciiTheme="majorHAnsi" w:hAnsiTheme="majorHAnsi" w:cs="Times New Roman"/>
          <w:iCs/>
          <w:sz w:val="24"/>
          <w:szCs w:val="24"/>
        </w:rPr>
        <w:t>(lub nawet o 30%, jeśli warunki będą sprzyjające),</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udziału energii pochodzącej ze źródeł odnawialnych do poziomu 20% w stosunku do całkowitego zużycia energii,</w:t>
      </w:r>
    </w:p>
    <w:p w:rsidR="00634D61" w:rsidRP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poziomu efektywności energetycznej o 20%.</w:t>
      </w:r>
    </w:p>
    <w:p w:rsidR="005B7938" w:rsidRDefault="00497397" w:rsidP="00FB3AC8">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lastRenderedPageBreak/>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B3AC8">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FF4CE6">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F15DC0">
      <w:pPr>
        <w:spacing w:before="120" w:after="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w:t>
      </w:r>
      <w:r w:rsidRPr="00BA5391">
        <w:rPr>
          <w:rFonts w:asciiTheme="majorHAnsi" w:hAnsiTheme="majorHAnsi" w:cs="Times New Roman"/>
          <w:sz w:val="24"/>
          <w:szCs w:val="24"/>
        </w:rPr>
        <w:lastRenderedPageBreak/>
        <w:t>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A085F" w:rsidRDefault="008A085F" w:rsidP="008A085F">
      <w:pPr>
        <w:spacing w:after="0"/>
        <w:jc w:val="both"/>
        <w:rPr>
          <w:rFonts w:asciiTheme="majorHAnsi" w:hAnsiTheme="majorHAnsi" w:cs="Times New Roman"/>
          <w:sz w:val="24"/>
          <w:szCs w:val="24"/>
        </w:rPr>
      </w:pPr>
    </w:p>
    <w:p w:rsidR="009D72A1" w:rsidRPr="00F75E8F" w:rsidRDefault="00F75E8F" w:rsidP="009D72A1">
      <w:pPr>
        <w:spacing w:after="120"/>
        <w:jc w:val="both"/>
        <w:rPr>
          <w:rFonts w:asciiTheme="majorHAnsi" w:hAnsiTheme="majorHAnsi" w:cs="Times New Roman"/>
          <w:b/>
          <w:iCs/>
          <w:smallCaps/>
          <w:color w:val="4F81BD" w:themeColor="accent1"/>
          <w:sz w:val="24"/>
          <w:szCs w:val="24"/>
        </w:rPr>
      </w:pPr>
      <w:r w:rsidRPr="00F75E8F">
        <w:rPr>
          <w:rFonts w:asciiTheme="majorHAnsi" w:hAnsiTheme="majorHAnsi"/>
          <w:b/>
          <w:iCs/>
          <w:smallCaps/>
          <w:color w:val="4F81BD" w:themeColor="accent1"/>
          <w:sz w:val="24"/>
          <w:szCs w:val="24"/>
        </w:rPr>
        <w:t>A.8</w:t>
      </w:r>
      <w:r w:rsidRPr="00F75E8F">
        <w:rPr>
          <w:rFonts w:asciiTheme="majorHAnsi" w:hAnsiTheme="majorHAnsi" w:cs="Times New Roman"/>
          <w:b/>
          <w:iCs/>
          <w:smallCaps/>
          <w:color w:val="4F81BD" w:themeColor="accent1"/>
          <w:sz w:val="24"/>
          <w:szCs w:val="24"/>
        </w:rPr>
        <w:t>. OBOWIĄZEK PRZEKAZYWANIA INFORMACJI NA POTRZEBY REJESTRÓW PROWADZONYCH W GENERALNEJ DYREKCJI OCHRONY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E72094" w:rsidRPr="00E72094" w:rsidRDefault="00E72094" w:rsidP="00E72094">
      <w:pPr>
        <w:spacing w:before="120"/>
        <w:jc w:val="both"/>
        <w:rPr>
          <w:rFonts w:asciiTheme="majorHAnsi" w:hAnsiTheme="majorHAnsi" w:cs="Times New Roman"/>
          <w:sz w:val="24"/>
          <w:szCs w:val="24"/>
        </w:rPr>
      </w:pPr>
      <w:r>
        <w:rPr>
          <w:rFonts w:asciiTheme="majorHAnsi" w:hAnsiTheme="majorHAnsi" w:cs="Times New Roman"/>
          <w:sz w:val="24"/>
          <w:szCs w:val="24"/>
        </w:rPr>
        <w:t>W przypadku, odpowiedzi twierdzącej należy oświadczyć, czy wymagane obowiązki są wypełniane.</w:t>
      </w:r>
    </w:p>
    <w:p w:rsidR="00514135" w:rsidRDefault="00514135" w:rsidP="00514135">
      <w:pPr>
        <w:spacing w:before="120"/>
        <w:jc w:val="both"/>
        <w:rPr>
          <w:rFonts w:asciiTheme="majorHAnsi" w:hAnsiTheme="majorHAnsi" w:cs="Times New Roman"/>
          <w:sz w:val="24"/>
          <w:szCs w:val="24"/>
        </w:rPr>
      </w:pP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FB" w:rsidRDefault="00040EFB" w:rsidP="00851196">
      <w:pPr>
        <w:spacing w:after="0" w:line="240" w:lineRule="auto"/>
      </w:pPr>
      <w:r>
        <w:separator/>
      </w:r>
    </w:p>
  </w:endnote>
  <w:endnote w:type="continuationSeparator" w:id="0">
    <w:p w:rsidR="00040EFB" w:rsidRDefault="00040EFB"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41398F">
          <w:rPr>
            <w:rFonts w:asciiTheme="majorBidi" w:hAnsiTheme="majorBidi" w:cstheme="majorBidi"/>
            <w:noProof/>
          </w:rPr>
          <w:t>10</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FB" w:rsidRDefault="00040EFB" w:rsidP="00851196">
      <w:pPr>
        <w:spacing w:after="0" w:line="240" w:lineRule="auto"/>
      </w:pPr>
      <w:r>
        <w:separator/>
      </w:r>
    </w:p>
  </w:footnote>
  <w:footnote w:type="continuationSeparator" w:id="0">
    <w:p w:rsidR="00040EFB" w:rsidRDefault="00040EFB" w:rsidP="0085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3C" w:rsidRDefault="0030553C" w:rsidP="0065740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2752F0"/>
    <w:multiLevelType w:val="hybridMultilevel"/>
    <w:tmpl w:val="3F8A0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8D17E8"/>
    <w:multiLevelType w:val="hybridMultilevel"/>
    <w:tmpl w:val="D25A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78748A"/>
    <w:multiLevelType w:val="hybridMultilevel"/>
    <w:tmpl w:val="4DAE96D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154C88"/>
    <w:multiLevelType w:val="hybridMultilevel"/>
    <w:tmpl w:val="6C62892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D81C6F"/>
    <w:multiLevelType w:val="hybridMultilevel"/>
    <w:tmpl w:val="272E5BF6"/>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6F4628E1"/>
    <w:multiLevelType w:val="hybridMultilevel"/>
    <w:tmpl w:val="F9AAA27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6"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87273FC"/>
    <w:multiLevelType w:val="hybridMultilevel"/>
    <w:tmpl w:val="C27C879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3"/>
  </w:num>
  <w:num w:numId="3">
    <w:abstractNumId w:val="33"/>
  </w:num>
  <w:num w:numId="4">
    <w:abstractNumId w:val="10"/>
  </w:num>
  <w:num w:numId="5">
    <w:abstractNumId w:val="52"/>
  </w:num>
  <w:num w:numId="6">
    <w:abstractNumId w:val="23"/>
  </w:num>
  <w:num w:numId="7">
    <w:abstractNumId w:val="18"/>
  </w:num>
  <w:num w:numId="8">
    <w:abstractNumId w:val="68"/>
  </w:num>
  <w:num w:numId="9">
    <w:abstractNumId w:val="17"/>
  </w:num>
  <w:num w:numId="10">
    <w:abstractNumId w:val="30"/>
  </w:num>
  <w:num w:numId="11">
    <w:abstractNumId w:val="36"/>
  </w:num>
  <w:num w:numId="12">
    <w:abstractNumId w:val="98"/>
  </w:num>
  <w:num w:numId="13">
    <w:abstractNumId w:val="46"/>
  </w:num>
  <w:num w:numId="14">
    <w:abstractNumId w:val="113"/>
  </w:num>
  <w:num w:numId="15">
    <w:abstractNumId w:val="86"/>
  </w:num>
  <w:num w:numId="16">
    <w:abstractNumId w:val="78"/>
  </w:num>
  <w:num w:numId="17">
    <w:abstractNumId w:val="28"/>
  </w:num>
  <w:num w:numId="18">
    <w:abstractNumId w:val="80"/>
  </w:num>
  <w:num w:numId="19">
    <w:abstractNumId w:val="105"/>
  </w:num>
  <w:num w:numId="20">
    <w:abstractNumId w:val="19"/>
  </w:num>
  <w:num w:numId="21">
    <w:abstractNumId w:val="106"/>
  </w:num>
  <w:num w:numId="22">
    <w:abstractNumId w:val="104"/>
  </w:num>
  <w:num w:numId="23">
    <w:abstractNumId w:val="0"/>
  </w:num>
  <w:num w:numId="24">
    <w:abstractNumId w:val="26"/>
  </w:num>
  <w:num w:numId="25">
    <w:abstractNumId w:val="90"/>
  </w:num>
  <w:num w:numId="26">
    <w:abstractNumId w:val="7"/>
  </w:num>
  <w:num w:numId="27">
    <w:abstractNumId w:val="97"/>
  </w:num>
  <w:num w:numId="28">
    <w:abstractNumId w:val="8"/>
  </w:num>
  <w:num w:numId="29">
    <w:abstractNumId w:val="4"/>
  </w:num>
  <w:num w:numId="30">
    <w:abstractNumId w:val="51"/>
  </w:num>
  <w:num w:numId="31">
    <w:abstractNumId w:val="1"/>
  </w:num>
  <w:num w:numId="32">
    <w:abstractNumId w:val="95"/>
  </w:num>
  <w:num w:numId="33">
    <w:abstractNumId w:val="34"/>
  </w:num>
  <w:num w:numId="34">
    <w:abstractNumId w:val="72"/>
  </w:num>
  <w:num w:numId="35">
    <w:abstractNumId w:val="102"/>
  </w:num>
  <w:num w:numId="36">
    <w:abstractNumId w:val="58"/>
  </w:num>
  <w:num w:numId="37">
    <w:abstractNumId w:val="47"/>
  </w:num>
  <w:num w:numId="38">
    <w:abstractNumId w:val="101"/>
  </w:num>
  <w:num w:numId="39">
    <w:abstractNumId w:val="99"/>
  </w:num>
  <w:num w:numId="40">
    <w:abstractNumId w:val="15"/>
  </w:num>
  <w:num w:numId="41">
    <w:abstractNumId w:val="42"/>
  </w:num>
  <w:num w:numId="42">
    <w:abstractNumId w:val="27"/>
  </w:num>
  <w:num w:numId="43">
    <w:abstractNumId w:val="69"/>
  </w:num>
  <w:num w:numId="44">
    <w:abstractNumId w:val="67"/>
  </w:num>
  <w:num w:numId="45">
    <w:abstractNumId w:val="43"/>
  </w:num>
  <w:num w:numId="46">
    <w:abstractNumId w:val="3"/>
  </w:num>
  <w:num w:numId="47">
    <w:abstractNumId w:val="59"/>
  </w:num>
  <w:num w:numId="48">
    <w:abstractNumId w:val="112"/>
  </w:num>
  <w:num w:numId="49">
    <w:abstractNumId w:val="61"/>
  </w:num>
  <w:num w:numId="50">
    <w:abstractNumId w:val="76"/>
  </w:num>
  <w:num w:numId="51">
    <w:abstractNumId w:val="111"/>
  </w:num>
  <w:num w:numId="52">
    <w:abstractNumId w:val="63"/>
  </w:num>
  <w:num w:numId="53">
    <w:abstractNumId w:val="88"/>
  </w:num>
  <w:num w:numId="54">
    <w:abstractNumId w:val="84"/>
  </w:num>
  <w:num w:numId="55">
    <w:abstractNumId w:val="107"/>
  </w:num>
  <w:num w:numId="56">
    <w:abstractNumId w:val="12"/>
  </w:num>
  <w:num w:numId="57">
    <w:abstractNumId w:val="9"/>
  </w:num>
  <w:num w:numId="58">
    <w:abstractNumId w:val="66"/>
  </w:num>
  <w:num w:numId="59">
    <w:abstractNumId w:val="64"/>
  </w:num>
  <w:num w:numId="60">
    <w:abstractNumId w:val="31"/>
  </w:num>
  <w:num w:numId="61">
    <w:abstractNumId w:val="75"/>
  </w:num>
  <w:num w:numId="62">
    <w:abstractNumId w:val="81"/>
  </w:num>
  <w:num w:numId="63">
    <w:abstractNumId w:val="79"/>
  </w:num>
  <w:num w:numId="64">
    <w:abstractNumId w:val="73"/>
  </w:num>
  <w:num w:numId="65">
    <w:abstractNumId w:val="20"/>
  </w:num>
  <w:num w:numId="66">
    <w:abstractNumId w:val="14"/>
  </w:num>
  <w:num w:numId="67">
    <w:abstractNumId w:val="45"/>
  </w:num>
  <w:num w:numId="68">
    <w:abstractNumId w:val="77"/>
  </w:num>
  <w:num w:numId="69">
    <w:abstractNumId w:val="62"/>
  </w:num>
  <w:num w:numId="70">
    <w:abstractNumId w:val="16"/>
  </w:num>
  <w:num w:numId="71">
    <w:abstractNumId w:val="38"/>
  </w:num>
  <w:num w:numId="72">
    <w:abstractNumId w:val="37"/>
  </w:num>
  <w:num w:numId="73">
    <w:abstractNumId w:val="87"/>
  </w:num>
  <w:num w:numId="74">
    <w:abstractNumId w:val="13"/>
  </w:num>
  <w:num w:numId="75">
    <w:abstractNumId w:val="22"/>
  </w:num>
  <w:num w:numId="76">
    <w:abstractNumId w:val="103"/>
  </w:num>
  <w:num w:numId="77">
    <w:abstractNumId w:val="89"/>
  </w:num>
  <w:num w:numId="78">
    <w:abstractNumId w:val="50"/>
  </w:num>
  <w:num w:numId="79">
    <w:abstractNumId w:val="6"/>
  </w:num>
  <w:num w:numId="80">
    <w:abstractNumId w:val="53"/>
  </w:num>
  <w:num w:numId="81">
    <w:abstractNumId w:val="93"/>
  </w:num>
  <w:num w:numId="82">
    <w:abstractNumId w:val="39"/>
  </w:num>
  <w:num w:numId="83">
    <w:abstractNumId w:val="49"/>
  </w:num>
  <w:num w:numId="84">
    <w:abstractNumId w:val="85"/>
  </w:num>
  <w:num w:numId="85">
    <w:abstractNumId w:val="92"/>
  </w:num>
  <w:num w:numId="86">
    <w:abstractNumId w:val="60"/>
  </w:num>
  <w:num w:numId="87">
    <w:abstractNumId w:val="35"/>
  </w:num>
  <w:num w:numId="88">
    <w:abstractNumId w:val="57"/>
  </w:num>
  <w:num w:numId="89">
    <w:abstractNumId w:val="55"/>
  </w:num>
  <w:num w:numId="90">
    <w:abstractNumId w:val="11"/>
  </w:num>
  <w:num w:numId="91">
    <w:abstractNumId w:val="21"/>
  </w:num>
  <w:num w:numId="92">
    <w:abstractNumId w:val="108"/>
  </w:num>
  <w:num w:numId="93">
    <w:abstractNumId w:val="65"/>
  </w:num>
  <w:num w:numId="94">
    <w:abstractNumId w:val="71"/>
  </w:num>
  <w:num w:numId="95">
    <w:abstractNumId w:val="94"/>
  </w:num>
  <w:num w:numId="96">
    <w:abstractNumId w:val="24"/>
  </w:num>
  <w:num w:numId="97">
    <w:abstractNumId w:val="70"/>
  </w:num>
  <w:num w:numId="98">
    <w:abstractNumId w:val="40"/>
  </w:num>
  <w:num w:numId="99">
    <w:abstractNumId w:val="44"/>
  </w:num>
  <w:num w:numId="100">
    <w:abstractNumId w:val="56"/>
  </w:num>
  <w:num w:numId="101">
    <w:abstractNumId w:val="5"/>
  </w:num>
  <w:num w:numId="102">
    <w:abstractNumId w:val="25"/>
  </w:num>
  <w:num w:numId="103">
    <w:abstractNumId w:val="110"/>
  </w:num>
  <w:num w:numId="104">
    <w:abstractNumId w:val="29"/>
  </w:num>
  <w:num w:numId="105">
    <w:abstractNumId w:val="91"/>
  </w:num>
  <w:num w:numId="106">
    <w:abstractNumId w:val="100"/>
  </w:num>
  <w:num w:numId="107">
    <w:abstractNumId w:val="54"/>
  </w:num>
  <w:num w:numId="108">
    <w:abstractNumId w:val="41"/>
  </w:num>
  <w:num w:numId="109">
    <w:abstractNumId w:val="32"/>
  </w:num>
  <w:num w:numId="110">
    <w:abstractNumId w:val="109"/>
  </w:num>
  <w:num w:numId="111">
    <w:abstractNumId w:val="74"/>
  </w:num>
  <w:num w:numId="112">
    <w:abstractNumId w:val="96"/>
  </w:num>
  <w:num w:numId="113">
    <w:abstractNumId w:val="82"/>
  </w:num>
  <w:num w:numId="114">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3139F"/>
    <w:rsid w:val="00032F95"/>
    <w:rsid w:val="00033707"/>
    <w:rsid w:val="000349B9"/>
    <w:rsid w:val="00036375"/>
    <w:rsid w:val="00037E2C"/>
    <w:rsid w:val="00040EFB"/>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603"/>
    <w:rsid w:val="000B66F7"/>
    <w:rsid w:val="000C04E1"/>
    <w:rsid w:val="000C12BB"/>
    <w:rsid w:val="000C178E"/>
    <w:rsid w:val="000C5176"/>
    <w:rsid w:val="000C6D1D"/>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1E2"/>
    <w:rsid w:val="000F6D5B"/>
    <w:rsid w:val="000F73DF"/>
    <w:rsid w:val="000F794A"/>
    <w:rsid w:val="00102700"/>
    <w:rsid w:val="001039BE"/>
    <w:rsid w:val="00103D2B"/>
    <w:rsid w:val="00104715"/>
    <w:rsid w:val="00106096"/>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4B49"/>
    <w:rsid w:val="001557DF"/>
    <w:rsid w:val="00157FA9"/>
    <w:rsid w:val="001628DA"/>
    <w:rsid w:val="00164843"/>
    <w:rsid w:val="00165A5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D04"/>
    <w:rsid w:val="001F0F14"/>
    <w:rsid w:val="001F1672"/>
    <w:rsid w:val="001F2A53"/>
    <w:rsid w:val="001F378C"/>
    <w:rsid w:val="001F394F"/>
    <w:rsid w:val="001F5738"/>
    <w:rsid w:val="001F7B69"/>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2045"/>
    <w:rsid w:val="002B47DC"/>
    <w:rsid w:val="002B6975"/>
    <w:rsid w:val="002C18D9"/>
    <w:rsid w:val="002C399E"/>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302DF4"/>
    <w:rsid w:val="0030311B"/>
    <w:rsid w:val="003032B7"/>
    <w:rsid w:val="00303FB1"/>
    <w:rsid w:val="0030553C"/>
    <w:rsid w:val="003057E1"/>
    <w:rsid w:val="003068E0"/>
    <w:rsid w:val="003069EB"/>
    <w:rsid w:val="00307584"/>
    <w:rsid w:val="0030764D"/>
    <w:rsid w:val="00307775"/>
    <w:rsid w:val="00307A6E"/>
    <w:rsid w:val="00307D34"/>
    <w:rsid w:val="0031027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030"/>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816"/>
    <w:rsid w:val="004019CD"/>
    <w:rsid w:val="00401F80"/>
    <w:rsid w:val="00402027"/>
    <w:rsid w:val="00402648"/>
    <w:rsid w:val="00403ECC"/>
    <w:rsid w:val="00403FDB"/>
    <w:rsid w:val="00404797"/>
    <w:rsid w:val="004074D5"/>
    <w:rsid w:val="00407A63"/>
    <w:rsid w:val="0041398F"/>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491"/>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1BFE"/>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EAC"/>
    <w:rsid w:val="004E0507"/>
    <w:rsid w:val="004E1C3D"/>
    <w:rsid w:val="004E1CA2"/>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2A70"/>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7224"/>
    <w:rsid w:val="005B02D1"/>
    <w:rsid w:val="005B168F"/>
    <w:rsid w:val="005B1851"/>
    <w:rsid w:val="005B1A63"/>
    <w:rsid w:val="005B2019"/>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44E"/>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10D"/>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D76DD"/>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1235"/>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085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DDD"/>
    <w:rsid w:val="009105E0"/>
    <w:rsid w:val="0091089B"/>
    <w:rsid w:val="00911C75"/>
    <w:rsid w:val="0091314C"/>
    <w:rsid w:val="00913C44"/>
    <w:rsid w:val="00914225"/>
    <w:rsid w:val="00916595"/>
    <w:rsid w:val="00916D11"/>
    <w:rsid w:val="00917BE3"/>
    <w:rsid w:val="009206CB"/>
    <w:rsid w:val="009208A8"/>
    <w:rsid w:val="00920ADD"/>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90320"/>
    <w:rsid w:val="0099574B"/>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365"/>
    <w:rsid w:val="009C6A98"/>
    <w:rsid w:val="009C7251"/>
    <w:rsid w:val="009D117D"/>
    <w:rsid w:val="009D2ECF"/>
    <w:rsid w:val="009D2FAD"/>
    <w:rsid w:val="009D33DD"/>
    <w:rsid w:val="009D445F"/>
    <w:rsid w:val="009D5104"/>
    <w:rsid w:val="009D668E"/>
    <w:rsid w:val="009D6765"/>
    <w:rsid w:val="009D67D1"/>
    <w:rsid w:val="009D72A1"/>
    <w:rsid w:val="009D7A33"/>
    <w:rsid w:val="009E2295"/>
    <w:rsid w:val="009E32D9"/>
    <w:rsid w:val="009E3607"/>
    <w:rsid w:val="009E4B6F"/>
    <w:rsid w:val="009E4E93"/>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686"/>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4598"/>
    <w:rsid w:val="00A94AB8"/>
    <w:rsid w:val="00A951DC"/>
    <w:rsid w:val="00A95CCF"/>
    <w:rsid w:val="00A97EA6"/>
    <w:rsid w:val="00AA217A"/>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1EB"/>
    <w:rsid w:val="00C93C5A"/>
    <w:rsid w:val="00C950D1"/>
    <w:rsid w:val="00C956B8"/>
    <w:rsid w:val="00CA0F92"/>
    <w:rsid w:val="00CA2CCD"/>
    <w:rsid w:val="00CA5D32"/>
    <w:rsid w:val="00CA7C93"/>
    <w:rsid w:val="00CB152D"/>
    <w:rsid w:val="00CB23C9"/>
    <w:rsid w:val="00CB29C6"/>
    <w:rsid w:val="00CB3BC8"/>
    <w:rsid w:val="00CB488E"/>
    <w:rsid w:val="00CB56E2"/>
    <w:rsid w:val="00CB61CE"/>
    <w:rsid w:val="00CB73BE"/>
    <w:rsid w:val="00CC03A8"/>
    <w:rsid w:val="00CC106A"/>
    <w:rsid w:val="00CC1C67"/>
    <w:rsid w:val="00CC3639"/>
    <w:rsid w:val="00CC49B1"/>
    <w:rsid w:val="00CC5B27"/>
    <w:rsid w:val="00CC6106"/>
    <w:rsid w:val="00CC7F46"/>
    <w:rsid w:val="00CD61E2"/>
    <w:rsid w:val="00CD62B1"/>
    <w:rsid w:val="00CD6A6E"/>
    <w:rsid w:val="00CE4878"/>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182D"/>
    <w:rsid w:val="00D62802"/>
    <w:rsid w:val="00D64238"/>
    <w:rsid w:val="00D6469E"/>
    <w:rsid w:val="00D64B47"/>
    <w:rsid w:val="00D6559C"/>
    <w:rsid w:val="00D667C9"/>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0A17"/>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16A"/>
    <w:rsid w:val="00DF0C80"/>
    <w:rsid w:val="00DF12CC"/>
    <w:rsid w:val="00DF2B0B"/>
    <w:rsid w:val="00DF4B43"/>
    <w:rsid w:val="00DF50CE"/>
    <w:rsid w:val="00DF517A"/>
    <w:rsid w:val="00DF54E2"/>
    <w:rsid w:val="00DF7AAE"/>
    <w:rsid w:val="00E00E58"/>
    <w:rsid w:val="00E02AB1"/>
    <w:rsid w:val="00E0385B"/>
    <w:rsid w:val="00E03A04"/>
    <w:rsid w:val="00E042F3"/>
    <w:rsid w:val="00E05B76"/>
    <w:rsid w:val="00E11AE8"/>
    <w:rsid w:val="00E11E99"/>
    <w:rsid w:val="00E11FB3"/>
    <w:rsid w:val="00E1352D"/>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65116"/>
    <w:rsid w:val="00E71C10"/>
    <w:rsid w:val="00E72094"/>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15DC0"/>
    <w:rsid w:val="00F2302F"/>
    <w:rsid w:val="00F23BCC"/>
    <w:rsid w:val="00F25BB6"/>
    <w:rsid w:val="00F260D4"/>
    <w:rsid w:val="00F3365F"/>
    <w:rsid w:val="00F349EC"/>
    <w:rsid w:val="00F360CF"/>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FF1"/>
    <w:rsid w:val="00F71422"/>
    <w:rsid w:val="00F73409"/>
    <w:rsid w:val="00F75BF7"/>
    <w:rsid w:val="00F75E8F"/>
    <w:rsid w:val="00F76B75"/>
    <w:rsid w:val="00F8261E"/>
    <w:rsid w:val="00F82C31"/>
    <w:rsid w:val="00F87ACC"/>
    <w:rsid w:val="00F904BA"/>
    <w:rsid w:val="00F91AEC"/>
    <w:rsid w:val="00F9227B"/>
    <w:rsid w:val="00F9286F"/>
    <w:rsid w:val="00F9340D"/>
    <w:rsid w:val="00F93DC1"/>
    <w:rsid w:val="00F95760"/>
    <w:rsid w:val="00F95B10"/>
    <w:rsid w:val="00FA08EE"/>
    <w:rsid w:val="00FA27A6"/>
    <w:rsid w:val="00FA2C6D"/>
    <w:rsid w:val="00FA3C45"/>
    <w:rsid w:val="00FA5979"/>
    <w:rsid w:val="00FA597A"/>
    <w:rsid w:val="00FB0062"/>
    <w:rsid w:val="00FB2147"/>
    <w:rsid w:val="00FB2C28"/>
    <w:rsid w:val="00FB3AC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0E2"/>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55D11-68A5-47F6-91A2-E13A455D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limada.mos.gov.pl/blog/2015/10/30/poradnik_przygotowania_inwesty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limada.mos.gov.pl/adaptacja-do-zmian-klimatu/perspektywa-finansow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nvironment/nature/natura2000/management/guidance_en.ht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181A-2F24-429F-8771-FA2C9E51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3748</Words>
  <Characters>22489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Joanna Skrzekut</cp:lastModifiedBy>
  <cp:revision>4</cp:revision>
  <cp:lastPrinted>2017-02-22T09:18:00Z</cp:lastPrinted>
  <dcterms:created xsi:type="dcterms:W3CDTF">2017-06-05T12:40:00Z</dcterms:created>
  <dcterms:modified xsi:type="dcterms:W3CDTF">2019-12-31T09:36:00Z</dcterms:modified>
</cp:coreProperties>
</file>