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C51F" w14:textId="4C8E553D" w:rsidR="00326EC7"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Załącznik do Uchwały Nr </w:t>
      </w:r>
      <w:r w:rsidR="00E01582">
        <w:rPr>
          <w:rFonts w:ascii="Times New Roman" w:eastAsia="Times New Roman" w:hAnsi="Times New Roman"/>
          <w:sz w:val="20"/>
          <w:szCs w:val="20"/>
          <w:lang w:eastAsia="pl-PL"/>
        </w:rPr>
        <w:t>23/2020</w:t>
      </w:r>
    </w:p>
    <w:p w14:paraId="78881EC9" w14:textId="0B68E24D" w:rsidR="00326EC7" w:rsidRPr="00A27641"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Komitetu Monitorującego Regionalny Program Operacyjny Województwa Podlaskiego na lata 2014-2020 </w:t>
      </w:r>
      <w:r>
        <w:rPr>
          <w:rFonts w:ascii="Times New Roman" w:eastAsia="Times New Roman" w:hAnsi="Times New Roman"/>
          <w:sz w:val="20"/>
          <w:szCs w:val="20"/>
          <w:lang w:eastAsia="pl-PL"/>
        </w:rPr>
        <w:br/>
        <w:t xml:space="preserve">dnia </w:t>
      </w:r>
      <w:r w:rsidR="00E01582">
        <w:rPr>
          <w:rFonts w:ascii="Times New Roman" w:eastAsia="Times New Roman" w:hAnsi="Times New Roman"/>
          <w:sz w:val="20"/>
          <w:szCs w:val="20"/>
          <w:lang w:eastAsia="pl-PL"/>
        </w:rPr>
        <w:t xml:space="preserve">18 czerwca </w:t>
      </w:r>
      <w:bookmarkStart w:id="0" w:name="_GoBack"/>
      <w:bookmarkEnd w:id="0"/>
      <w:r w:rsidR="00C370A7">
        <w:rPr>
          <w:rFonts w:ascii="Times New Roman" w:eastAsia="Times New Roman" w:hAnsi="Times New Roman"/>
          <w:sz w:val="20"/>
          <w:szCs w:val="20"/>
          <w:lang w:eastAsia="pl-PL"/>
        </w:rPr>
        <w:t>2020</w:t>
      </w:r>
      <w:r w:rsidRPr="00276BF9">
        <w:rPr>
          <w:rFonts w:ascii="Times New Roman" w:eastAsia="Times New Roman" w:hAnsi="Times New Roman"/>
          <w:sz w:val="20"/>
          <w:szCs w:val="20"/>
          <w:lang w:eastAsia="pl-PL"/>
        </w:rPr>
        <w:t xml:space="preserve"> r.</w:t>
      </w:r>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3"/>
        <w:gridCol w:w="4536"/>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przypadku nie przedłożenia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t>
            </w:r>
            <w:r w:rsidRPr="00364A66">
              <w:rPr>
                <w:rFonts w:asciiTheme="majorHAnsi" w:hAnsiTheme="majorHAnsi" w:cstheme="majorHAnsi"/>
              </w:rPr>
              <w:lastRenderedPageBreak/>
              <w:t>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lastRenderedPageBreak/>
              <w:t xml:space="preserve">Możliwość jednorazowej korekty w zakresie uzupełnienia brakujących załączników lub </w:t>
            </w:r>
            <w:r w:rsidRPr="00364A66">
              <w:rPr>
                <w:rFonts w:asciiTheme="majorHAnsi" w:hAnsiTheme="majorHAnsi" w:cstheme="majorHAnsi"/>
              </w:rPr>
              <w:lastRenderedPageBreak/>
              <w:t>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85"/>
        <w:gridCol w:w="2535"/>
        <w:gridCol w:w="5473"/>
        <w:gridCol w:w="4464"/>
        <w:gridCol w:w="126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wniosku  </w:t>
            </w:r>
            <w:r w:rsidRPr="00364A66">
              <w:rPr>
                <w:rFonts w:asciiTheme="majorHAnsi" w:hAnsiTheme="majorHAnsi" w:cstheme="majorHAnsi"/>
              </w:rPr>
              <w:t>o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 xml:space="preserve">Wniosek dotyczy rodzaju operacji, który może zostać dofinansowany </w:t>
            </w:r>
            <w:r w:rsidRPr="00364A66">
              <w:rPr>
                <w:rFonts w:asciiTheme="majorHAnsi" w:hAnsiTheme="majorHAnsi" w:cstheme="majorHAnsi"/>
                <w:b/>
              </w:rPr>
              <w:lastRenderedPageBreak/>
              <w:t>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lastRenderedPageBreak/>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w:t>
            </w:r>
            <w:r>
              <w:rPr>
                <w:rFonts w:asciiTheme="majorHAnsi" w:hAnsiTheme="majorHAnsi" w:cstheme="majorHAnsi"/>
              </w:rPr>
              <w:lastRenderedPageBreak/>
              <w:t xml:space="preserve">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Operacja zakłada realizację inwestycji na obszarze objętym LSR, chyba że operacja dotyczy inwestycji polegającej na budowie albo przebudowie liniowego obiektu budowlanego, którego odcinek będzie zlokalizowany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84"/>
        <w:gridCol w:w="2582"/>
        <w:gridCol w:w="5444"/>
        <w:gridCol w:w="4303"/>
        <w:gridCol w:w="1405"/>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celem(-ami) określonym(-nymi)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w:t>
            </w:r>
            <w:r w:rsidRPr="00BE3B97">
              <w:rPr>
                <w:rFonts w:asciiTheme="majorHAnsi" w:hAnsiTheme="majorHAnsi" w:cstheme="majorHAnsi"/>
              </w:rPr>
              <w:lastRenderedPageBreak/>
              <w:t xml:space="preserve">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operacji  są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lastRenderedPageBreak/>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zmiany rodzaju nabytych środków trwałych/wartości niematerialnych i</w:t>
            </w:r>
            <w:r w:rsidR="00870C5A">
              <w:rPr>
                <w:rFonts w:asciiTheme="majorHAnsi" w:hAnsiTheme="majorHAnsi" w:cstheme="majorHAnsi"/>
              </w:rPr>
              <w:t> </w:t>
            </w:r>
            <w:r w:rsidRPr="00BE3B97">
              <w:rPr>
                <w:rFonts w:asciiTheme="majorHAnsi" w:hAnsiTheme="majorHAnsi" w:cstheme="majorHAnsi"/>
              </w:rPr>
              <w:t>prawnych, w tym ich parametrów technicznych przy zachowaniu co najmniej nie gorszych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cross-financingu</w:t>
            </w:r>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infrastrukturze, jednakże nie powodujących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 xml:space="preserve">granic </w:t>
            </w:r>
            <w:r w:rsidRPr="00870C5A">
              <w:rPr>
                <w:rFonts w:asciiTheme="majorHAnsi" w:hAnsiTheme="majorHAnsi" w:cstheme="majorHAnsi"/>
              </w:rPr>
              <w:lastRenderedPageBreak/>
              <w:t>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lastRenderedPageBreak/>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180A3892"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C370A7">
              <w:rPr>
                <w:rFonts w:asciiTheme="majorHAnsi" w:hAnsiTheme="majorHAnsi" w:cstheme="majorHAnsi"/>
              </w:rPr>
              <w:t>/Nie dotyczy</w:t>
            </w:r>
            <w:r w:rsidR="00861552">
              <w:rPr>
                <w:rStyle w:val="Odwoanieprzypisudolnego"/>
                <w:rFonts w:asciiTheme="majorHAnsi" w:hAnsiTheme="majorHAnsi" w:cstheme="majorHAnsi"/>
              </w:rPr>
              <w:footnoteReference w:id="3"/>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493F2C51"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r w:rsidR="00C370A7">
              <w:rPr>
                <w:rFonts w:asciiTheme="majorHAnsi" w:hAnsiTheme="majorHAnsi" w:cstheme="majorHAnsi"/>
              </w:rPr>
              <w:t>/Nie dotyczy</w:t>
            </w:r>
            <w:r w:rsidR="003D288C">
              <w:rPr>
                <w:rStyle w:val="Odwoanieprzypisudolnego"/>
                <w:rFonts w:asciiTheme="majorHAnsi" w:hAnsiTheme="majorHAnsi" w:cstheme="majorHAnsi"/>
              </w:rPr>
              <w:footnoteReference w:id="4"/>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FF37004"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0D349F">
              <w:rPr>
                <w:rFonts w:asciiTheme="majorHAnsi" w:hAnsiTheme="majorHAnsi" w:cstheme="majorHAnsi"/>
              </w:rPr>
              <w:t>/Nie dotyczy</w:t>
            </w:r>
            <w:r w:rsidR="000D349F">
              <w:rPr>
                <w:rStyle w:val="Odwoanieprzypisudolnego"/>
                <w:rFonts w:asciiTheme="majorHAnsi" w:hAnsiTheme="majorHAnsi" w:cstheme="majorHAnsi"/>
              </w:rPr>
              <w:footnoteReference w:id="5"/>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w:t>
            </w:r>
            <w:r w:rsidRPr="00AC5F4A">
              <w:rPr>
                <w:rFonts w:asciiTheme="majorHAnsi" w:hAnsiTheme="majorHAnsi" w:cstheme="majorHAnsi"/>
                <w:b/>
              </w:rPr>
              <w:lastRenderedPageBreak/>
              <w:t xml:space="preserve">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lastRenderedPageBreak/>
              <w:t xml:space="preserve">Wpływ operacji na realizację wszystkich zasad horyzontalnych (zrównoważony rozwój, równość szans </w:t>
            </w:r>
            <w:r w:rsidRPr="00AC5F4A">
              <w:rPr>
                <w:rFonts w:asciiTheme="majorHAnsi" w:hAnsiTheme="majorHAnsi" w:cstheme="majorHAnsi"/>
              </w:rPr>
              <w:lastRenderedPageBreak/>
              <w:t>i</w:t>
            </w:r>
            <w:r w:rsidR="00BC2833">
              <w:rPr>
                <w:rFonts w:asciiTheme="majorHAnsi" w:hAnsiTheme="majorHAnsi" w:cstheme="majorHAnsi"/>
              </w:rPr>
              <w:t> </w:t>
            </w:r>
            <w:r w:rsidRPr="00AC5F4A">
              <w:rPr>
                <w:rFonts w:asciiTheme="majorHAnsi" w:hAnsiTheme="majorHAnsi" w:cstheme="majorHAnsi"/>
              </w:rPr>
              <w:t>zapobieganie dyskryminacji, równość płci, przeciwdziałanie zmianom klimatu i ład przestrzenny, 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lastRenderedPageBreak/>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lastRenderedPageBreak/>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wystąpienia/nie wystąpienia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Wnioskodawca i operacja spełnia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w:t>
      </w:r>
      <w:r w:rsidRPr="00BC2833">
        <w:rPr>
          <w:rFonts w:asciiTheme="majorHAnsi" w:hAnsiTheme="majorHAnsi" w:cstheme="majorHAnsi"/>
        </w:rPr>
        <w:lastRenderedPageBreak/>
        <w:t>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Przewidywana technologia instalacji OZE nie będzie oparta na wykorzystaniu biomasy pozyskiwanej w  sposób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4"/>
        <w:gridCol w:w="3046"/>
        <w:gridCol w:w="9427"/>
        <w:gridCol w:w="126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Wymieniane urządzenie grzewcze charakteryzuje się obowiązującym od końca 2020 roku minimalnym poziomem efektywności energetycznej i normami emisji zanieczyszczeń, które zostały określone w 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r. ustanawiającej ogólne zasady ustalania wymogów dotyczących ekoprojektu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4  (Przydomowe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tworzonej infrastruktury przewidziano działania dot. promowania ochrony różnorodności 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84"/>
        <w:gridCol w:w="3045"/>
        <w:gridCol w:w="9428"/>
        <w:gridCol w:w="126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3"/>
        <w:gridCol w:w="3060"/>
        <w:gridCol w:w="9412"/>
        <w:gridCol w:w="1263"/>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Realizacja operacji przyczyni się do zróżnicowania oferty kulturalnej w celu wzmocnienia znaczenia </w:t>
            </w:r>
            <w:r w:rsidRPr="00AD2A26">
              <w:rPr>
                <w:rFonts w:asciiTheme="majorHAnsi" w:hAnsiTheme="majorHAnsi" w:cstheme="majorHAnsi"/>
              </w:rPr>
              <w:lastRenderedPageBreak/>
              <w:t>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kwalikowalnych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zaopiniowanym/-ych  podczas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dotyczy wyłącznie remontu/modernizacji/przebudowy obiektu bez wpływu na rozwiązanie 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43"/>
        <w:gridCol w:w="9412"/>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39"/>
        <w:gridCol w:w="2952"/>
        <w:gridCol w:w="8868"/>
        <w:gridCol w:w="1659"/>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lastRenderedPageBreak/>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t>Operacja jest ujęta we właściwym Gminnym/Lokalnym Programie Rewitalizacji pozytywnie zaopiniowanym/-ych  podczas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7F212D1C" w14:textId="77777777" w:rsidR="00A1267F" w:rsidRPr="00B945DA" w:rsidRDefault="00A1267F" w:rsidP="008E281B">
            <w:pPr>
              <w:jc w:val="both"/>
              <w:rPr>
                <w:rFonts w:asciiTheme="majorHAnsi" w:hAnsiTheme="majorHAnsi" w:cstheme="majorHAnsi"/>
                <w:i/>
              </w:rPr>
            </w:pPr>
          </w:p>
          <w:p w14:paraId="5741C549" w14:textId="260A4057" w:rsidR="006F2722" w:rsidRDefault="006F2722" w:rsidP="006F2722">
            <w:pPr>
              <w:spacing w:after="160" w:line="256" w:lineRule="auto"/>
              <w:jc w:val="both"/>
              <w:rPr>
                <w:rFonts w:ascii="Calibri Light" w:eastAsia="Calibri" w:hAnsi="Calibri Light" w:cs="Calibri"/>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kN/oś </w:t>
            </w:r>
            <w:r w:rsidRPr="006F2722">
              <w:rPr>
                <w:rFonts w:ascii="Calibri Light" w:eastAsia="Calibri" w:hAnsi="Calibri Light" w:cs="Calibri"/>
                <w:color w:val="000000"/>
              </w:rPr>
              <w:t>(wyrok ETS z dnia 21 marca 2019 r., sprawa C-127/17)</w:t>
            </w:r>
            <w:r w:rsidRPr="006F2722">
              <w:rPr>
                <w:rFonts w:ascii="Calibri Light" w:eastAsia="Calibri" w:hAnsi="Calibri Light" w:cs="Calibri"/>
              </w:rPr>
              <w:t xml:space="preserve"> .</w:t>
            </w:r>
          </w:p>
          <w:p w14:paraId="55893C4C" w14:textId="704D90F0" w:rsidR="0039392A" w:rsidRPr="006F2722" w:rsidRDefault="0039392A" w:rsidP="006F2722">
            <w:pPr>
              <w:spacing w:after="160" w:line="256" w:lineRule="auto"/>
              <w:jc w:val="both"/>
              <w:rPr>
                <w:rFonts w:ascii="Calibri Light" w:eastAsia="Calibri" w:hAnsi="Calibri Light" w:cs="Calibri Light"/>
              </w:rPr>
            </w:pPr>
            <w:r w:rsidRPr="0039392A">
              <w:rPr>
                <w:rFonts w:ascii="Calibri Light" w:eastAsia="Calibri" w:hAnsi="Calibri Light" w:cs="Calibri"/>
              </w:rPr>
              <w:t>Wymóg przystosowania dróg do nośności wynoszącej 11,5 t na oś nie musi mieć zastosowania do dróg, które nie są przeznaczone dla ruchu długich i ciężkich pojazdów, takich jak drogi w centrach miast, małe wioski lub miejsca o szczególnym znaczeniu przyrodniczym, co wynika z Artykułu 7 Dyrektywy 96/53/EC</w:t>
            </w:r>
            <w:r>
              <w:rPr>
                <w:rStyle w:val="Odwoanieprzypisudolnego"/>
                <w:rFonts w:ascii="Calibri Light" w:eastAsia="Calibri" w:hAnsi="Calibri Light" w:cs="Calibri"/>
              </w:rPr>
              <w:footnoteReference w:id="6"/>
            </w:r>
            <w:r w:rsidR="00535C7B">
              <w:rPr>
                <w:rFonts w:ascii="Calibri Light" w:eastAsia="Calibri" w:hAnsi="Calibri Light" w:cs="Calibri"/>
              </w:rPr>
              <w:t>.</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lastRenderedPageBreak/>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Usprawnienie obsługi potencjałów ruchotwórczych</w:t>
            </w:r>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cjałów ruchotwórczych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35731" w14:textId="77777777" w:rsidR="004D666D" w:rsidRDefault="004D666D" w:rsidP="00364A66">
      <w:pPr>
        <w:spacing w:after="0" w:line="240" w:lineRule="auto"/>
      </w:pPr>
      <w:r>
        <w:separator/>
      </w:r>
    </w:p>
  </w:endnote>
  <w:endnote w:type="continuationSeparator" w:id="0">
    <w:p w14:paraId="23506D98" w14:textId="77777777" w:rsidR="004D666D" w:rsidRDefault="004D666D"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29392"/>
      <w:docPartObj>
        <w:docPartGallery w:val="Page Numbers (Bottom of Page)"/>
        <w:docPartUnique/>
      </w:docPartObj>
    </w:sdtPr>
    <w:sdtEndPr/>
    <w:sdtContent>
      <w:p w14:paraId="0A139B5D" w14:textId="6F53EB50" w:rsidR="00C370A7" w:rsidRDefault="00C370A7">
        <w:pPr>
          <w:pStyle w:val="Stopka"/>
          <w:jc w:val="center"/>
        </w:pPr>
        <w:r>
          <w:fldChar w:fldCharType="begin"/>
        </w:r>
        <w:r>
          <w:instrText>PAGE   \* MERGEFORMAT</w:instrText>
        </w:r>
        <w:r>
          <w:fldChar w:fldCharType="separate"/>
        </w:r>
        <w:r w:rsidR="00E01582">
          <w:rPr>
            <w:noProof/>
          </w:rPr>
          <w:t>20</w:t>
        </w:r>
        <w:r>
          <w:fldChar w:fldCharType="end"/>
        </w:r>
      </w:p>
    </w:sdtContent>
  </w:sdt>
  <w:p w14:paraId="4DD34621" w14:textId="77777777" w:rsidR="00C370A7" w:rsidRDefault="00C37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AB66" w14:textId="77777777" w:rsidR="004D666D" w:rsidRDefault="004D666D" w:rsidP="00364A66">
      <w:pPr>
        <w:spacing w:after="0" w:line="240" w:lineRule="auto"/>
      </w:pPr>
      <w:r>
        <w:separator/>
      </w:r>
    </w:p>
  </w:footnote>
  <w:footnote w:type="continuationSeparator" w:id="0">
    <w:p w14:paraId="2AD9639E" w14:textId="77777777" w:rsidR="004D666D" w:rsidRDefault="004D666D" w:rsidP="00364A66">
      <w:pPr>
        <w:spacing w:after="0" w:line="240" w:lineRule="auto"/>
      </w:pPr>
      <w:r>
        <w:continuationSeparator/>
      </w:r>
    </w:p>
  </w:footnote>
  <w:footnote w:id="1">
    <w:p w14:paraId="5CCC4CF7"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3">
    <w:p w14:paraId="5B28E4CC" w14:textId="44429B30" w:rsidR="00861552" w:rsidRDefault="00861552" w:rsidP="00E01582">
      <w:pPr>
        <w:pStyle w:val="Tekstprzypisudolnego"/>
        <w:jc w:val="both"/>
      </w:pPr>
      <w:r>
        <w:rPr>
          <w:rStyle w:val="Odwoanieprzypisudolnego"/>
        </w:rPr>
        <w:footnoteRef/>
      </w:r>
      <w:r>
        <w:t xml:space="preserve"> Opcja „Nie dotyczy” uzależniona od zapisów dokumentacji konkursowej, w związku z częściowym zawieszeniem </w:t>
      </w:r>
      <w:r w:rsidRPr="00E01582">
        <w:rPr>
          <w:i/>
        </w:rPr>
        <w:t>Wytycznych Ministra Inwestycji i Rozwoju w zakresie zagadnień związanych z przygotowaniem projektów inwestycyjnych, w tym projektów generujących dochód i projektów hybrydowych na lata 2014-2020</w:t>
      </w:r>
    </w:p>
  </w:footnote>
  <w:footnote w:id="4">
    <w:p w14:paraId="1793FF43" w14:textId="5A5EC416" w:rsidR="003D288C" w:rsidRDefault="003D288C">
      <w:pPr>
        <w:pStyle w:val="Tekstprzypisudolnego"/>
      </w:pPr>
      <w:r>
        <w:rPr>
          <w:rStyle w:val="Odwoanieprzypisudolnego"/>
        </w:rPr>
        <w:footnoteRef/>
      </w:r>
      <w:r>
        <w:t xml:space="preserve"> jw.</w:t>
      </w:r>
    </w:p>
  </w:footnote>
  <w:footnote w:id="5">
    <w:p w14:paraId="391D4D41" w14:textId="4E331B68" w:rsidR="000D349F" w:rsidRDefault="000D349F">
      <w:pPr>
        <w:pStyle w:val="Tekstprzypisudolnego"/>
      </w:pPr>
      <w:r>
        <w:rPr>
          <w:rStyle w:val="Odwoanieprzypisudolnego"/>
        </w:rPr>
        <w:footnoteRef/>
      </w:r>
      <w:r>
        <w:t xml:space="preserve"> jw.</w:t>
      </w:r>
    </w:p>
  </w:footnote>
  <w:footnote w:id="6">
    <w:p w14:paraId="1FE901B6" w14:textId="77777777" w:rsidR="0039392A" w:rsidRPr="0039392A" w:rsidRDefault="0039392A" w:rsidP="00E01582">
      <w:pPr>
        <w:pStyle w:val="Tekstprzypisudolnego"/>
        <w:jc w:val="both"/>
      </w:pPr>
      <w:r>
        <w:rPr>
          <w:rStyle w:val="Odwoanieprzypisudolnego"/>
        </w:rPr>
        <w:footnoteRef/>
      </w:r>
      <w:r>
        <w:t xml:space="preserve"> </w:t>
      </w:r>
      <w:r w:rsidRPr="0039392A">
        <w:t xml:space="preserve">Zgodnie z postanowieniami tego Artykułu, wymogi dyrektywy 96/53/EC dotyczące m.in. maksymalnego dopuszczalnego ciężaru pojazdów w ruchu drogowym nie uchybiają możliwości „nakładania lokalnych ograniczeń na maksymalne dopuszczalne wymiary i/lub ciężary pojazdów, które mogą być używane, w przypadku gdy infrastruktura nie jest przystosowana do długich i ciężkich pojazdów, w określonych obszarach lub na określonych drogach, takich jak centra miast, małe wioski lub miejsca o szczególnym znaczeniu przyrodniczym”  </w:t>
      </w:r>
    </w:p>
    <w:p w14:paraId="263680CB" w14:textId="22F6A215" w:rsidR="0039392A" w:rsidRDefault="0039392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C55" w14:textId="4C66E680" w:rsidR="00C370A7" w:rsidRDefault="00C370A7"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C370A7" w:rsidRDefault="00C37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A0"/>
    <w:rsid w:val="00070C5E"/>
    <w:rsid w:val="00070F45"/>
    <w:rsid w:val="00082B24"/>
    <w:rsid w:val="000B430C"/>
    <w:rsid w:val="000D349F"/>
    <w:rsid w:val="000D4141"/>
    <w:rsid w:val="000E7C8E"/>
    <w:rsid w:val="001117E6"/>
    <w:rsid w:val="00127023"/>
    <w:rsid w:val="00192812"/>
    <w:rsid w:val="00196773"/>
    <w:rsid w:val="001A102E"/>
    <w:rsid w:val="001C33A8"/>
    <w:rsid w:val="001C4D1D"/>
    <w:rsid w:val="001D414D"/>
    <w:rsid w:val="001D5D4B"/>
    <w:rsid w:val="00201D94"/>
    <w:rsid w:val="002029CA"/>
    <w:rsid w:val="0026456C"/>
    <w:rsid w:val="00266540"/>
    <w:rsid w:val="00276BF9"/>
    <w:rsid w:val="00283330"/>
    <w:rsid w:val="00291464"/>
    <w:rsid w:val="002A2F39"/>
    <w:rsid w:val="002C1CB2"/>
    <w:rsid w:val="002C3B25"/>
    <w:rsid w:val="002D37A8"/>
    <w:rsid w:val="002E210D"/>
    <w:rsid w:val="003108DE"/>
    <w:rsid w:val="00325F31"/>
    <w:rsid w:val="00326EC7"/>
    <w:rsid w:val="00336C16"/>
    <w:rsid w:val="00345CA3"/>
    <w:rsid w:val="00364A66"/>
    <w:rsid w:val="003825A0"/>
    <w:rsid w:val="0039392A"/>
    <w:rsid w:val="003A68C4"/>
    <w:rsid w:val="003B6A08"/>
    <w:rsid w:val="003C169D"/>
    <w:rsid w:val="003D2039"/>
    <w:rsid w:val="003D288C"/>
    <w:rsid w:val="003E67FA"/>
    <w:rsid w:val="00406971"/>
    <w:rsid w:val="00427C02"/>
    <w:rsid w:val="004616A2"/>
    <w:rsid w:val="00466E8D"/>
    <w:rsid w:val="00467541"/>
    <w:rsid w:val="0048377C"/>
    <w:rsid w:val="004D666D"/>
    <w:rsid w:val="00501C71"/>
    <w:rsid w:val="0053014A"/>
    <w:rsid w:val="00535C7B"/>
    <w:rsid w:val="0054477F"/>
    <w:rsid w:val="00557689"/>
    <w:rsid w:val="00566CC8"/>
    <w:rsid w:val="00594E5A"/>
    <w:rsid w:val="005B5A7F"/>
    <w:rsid w:val="005C61FB"/>
    <w:rsid w:val="005F7413"/>
    <w:rsid w:val="006002F6"/>
    <w:rsid w:val="0060556E"/>
    <w:rsid w:val="006153F7"/>
    <w:rsid w:val="00622220"/>
    <w:rsid w:val="006478EF"/>
    <w:rsid w:val="0065113F"/>
    <w:rsid w:val="0068078E"/>
    <w:rsid w:val="006930A6"/>
    <w:rsid w:val="006A0A9C"/>
    <w:rsid w:val="006C3019"/>
    <w:rsid w:val="006D73DE"/>
    <w:rsid w:val="006E4EFA"/>
    <w:rsid w:val="006F2722"/>
    <w:rsid w:val="00705824"/>
    <w:rsid w:val="00716A2E"/>
    <w:rsid w:val="00756651"/>
    <w:rsid w:val="00760049"/>
    <w:rsid w:val="00762543"/>
    <w:rsid w:val="007D7F4D"/>
    <w:rsid w:val="00850DDD"/>
    <w:rsid w:val="00861552"/>
    <w:rsid w:val="00870C5A"/>
    <w:rsid w:val="00876B60"/>
    <w:rsid w:val="00891B6B"/>
    <w:rsid w:val="008A6C72"/>
    <w:rsid w:val="008B6A65"/>
    <w:rsid w:val="008C57CE"/>
    <w:rsid w:val="008E281B"/>
    <w:rsid w:val="009367C7"/>
    <w:rsid w:val="0096234E"/>
    <w:rsid w:val="009873CE"/>
    <w:rsid w:val="009927F4"/>
    <w:rsid w:val="009B0B10"/>
    <w:rsid w:val="009F71F6"/>
    <w:rsid w:val="00A1267F"/>
    <w:rsid w:val="00A27525"/>
    <w:rsid w:val="00A42F57"/>
    <w:rsid w:val="00A8279C"/>
    <w:rsid w:val="00A8579D"/>
    <w:rsid w:val="00AA1275"/>
    <w:rsid w:val="00AC5F4A"/>
    <w:rsid w:val="00AD2A26"/>
    <w:rsid w:val="00AF43FC"/>
    <w:rsid w:val="00B027FB"/>
    <w:rsid w:val="00B1365B"/>
    <w:rsid w:val="00B5379E"/>
    <w:rsid w:val="00B578B6"/>
    <w:rsid w:val="00B77901"/>
    <w:rsid w:val="00B945DA"/>
    <w:rsid w:val="00BC2833"/>
    <w:rsid w:val="00BE3B97"/>
    <w:rsid w:val="00BE6D4A"/>
    <w:rsid w:val="00C2733A"/>
    <w:rsid w:val="00C370A7"/>
    <w:rsid w:val="00C65FFE"/>
    <w:rsid w:val="00CA49BC"/>
    <w:rsid w:val="00CC1BD2"/>
    <w:rsid w:val="00D13FFB"/>
    <w:rsid w:val="00D1417C"/>
    <w:rsid w:val="00D30895"/>
    <w:rsid w:val="00D37E6D"/>
    <w:rsid w:val="00D40CB3"/>
    <w:rsid w:val="00D64113"/>
    <w:rsid w:val="00D96683"/>
    <w:rsid w:val="00DB1455"/>
    <w:rsid w:val="00DB7525"/>
    <w:rsid w:val="00DF4CFA"/>
    <w:rsid w:val="00E01582"/>
    <w:rsid w:val="00E15AC6"/>
    <w:rsid w:val="00E44A60"/>
    <w:rsid w:val="00E4549E"/>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6BC0E"/>
  <w15:docId w15:val="{501A1BBE-3111-438E-9D95-1C3CD27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5DB6-EE52-4353-AB33-2B0BECC7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Sosnowska Monika</cp:lastModifiedBy>
  <cp:revision>4</cp:revision>
  <cp:lastPrinted>2019-09-09T10:36:00Z</cp:lastPrinted>
  <dcterms:created xsi:type="dcterms:W3CDTF">2020-05-29T11:21:00Z</dcterms:created>
  <dcterms:modified xsi:type="dcterms:W3CDTF">2020-06-16T09:19:00Z</dcterms:modified>
</cp:coreProperties>
</file>